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hint="eastAsia" w:ascii="楷体" w:hAnsi="楷体" w:eastAsia="宋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eastAsia="zh-CN"/>
        </w:rPr>
        <w:t>农业开发办公室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霸州市农业开发办公室</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（一）贯彻宣传执行国家农业综合开发有关方针政策法规。</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（二）编制农业综合开发总体规划，建立开发项目库。</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（三）负责开发工程的招投标、项目公示工作。</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（四）承担项目前期各项准备任务。包括项目勘测规划设计提出项目建议书，编报项目计划和可研报告、水资源状况的评估论证。</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（五）负责年度开发计划的编制、申报、批复工作。</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（六）制定全市农业综合开发的各项规章制度及工程质量、标准。</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（七）组织在建项目的施工、检查工作，确保工程质量。</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（八）负责开发工程的验收、建后管护工作。</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（九）负责开发工程资金物资的拔入拔出、核算和财务管理工作。</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（十）负责开发工程的预决算工作。</w:t>
      </w:r>
    </w:p>
    <w:p>
      <w:pPr>
        <w:keepNext w:val="0"/>
        <w:keepLines w:val="0"/>
        <w:pageBreakBefore w:val="0"/>
        <w:widowControl w:val="0"/>
        <w:kinsoku/>
        <w:wordWrap/>
        <w:overflowPunct/>
        <w:topLinePunct w:val="0"/>
        <w:autoSpaceDE/>
        <w:autoSpaceDN/>
        <w:bidi w:val="0"/>
        <w:adjustRightInd/>
        <w:snapToGrid/>
        <w:spacing w:line="58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（十一）负责开发工程各项经济指标的综合统计工作。</w:t>
      </w:r>
    </w:p>
    <w:p>
      <w:pPr>
        <w:pStyle w:val="2"/>
        <w:spacing w:before="0" w:after="0"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（十二）负责机关人员的管理，组织全体人员积极参与市委、市政府安排的其他任务。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霸州市农业开发办公室</w:t>
            </w:r>
            <w:r>
              <w:rPr>
                <w:rFonts w:hint="eastAsia" w:ascii="仿宋_GB2312" w:eastAsia="仿宋_GB2312" w:cs="ArialUnicodeMS" w:hAnsiTheme="minorHAnsi"/>
                <w:kern w:val="0"/>
                <w:sz w:val="28"/>
                <w:szCs w:val="28"/>
              </w:rPr>
              <w:t>(本级)</w:t>
            </w:r>
          </w:p>
        </w:tc>
        <w:tc>
          <w:tcPr>
            <w:tcW w:w="244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参公事业单位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highlight w:val="none"/>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p>
        </w:tc>
        <w:tc>
          <w:tcPr>
            <w:tcW w:w="2445" w:type="dxa"/>
          </w:tcPr>
          <w:p>
            <w:pPr>
              <w:spacing w:after="0" w:line="560" w:lineRule="exact"/>
              <w:jc w:val="center"/>
              <w:rPr>
                <w:rFonts w:ascii="仿宋_GB2312" w:eastAsia="仿宋_GB2312" w:cs="ArialUnicodeMS" w:hAnsiTheme="minorHAnsi"/>
                <w:kern w:val="0"/>
                <w:sz w:val="28"/>
                <w:szCs w:val="28"/>
              </w:rPr>
            </w:pPr>
          </w:p>
        </w:tc>
        <w:tc>
          <w:tcPr>
            <w:tcW w:w="2665" w:type="dxa"/>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3485" w:type="dxa"/>
            <w:tcBorders>
              <w:bottom w:val="single" w:color="auto" w:sz="4" w:space="0"/>
            </w:tcBorders>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w:t>
            </w:r>
          </w:p>
        </w:tc>
        <w:tc>
          <w:tcPr>
            <w:tcW w:w="244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c>
          <w:tcPr>
            <w:tcW w:w="2665" w:type="dxa"/>
            <w:tcBorders>
              <w:bottom w:val="single" w:color="auto" w:sz="4" w:space="0"/>
            </w:tcBorders>
          </w:tcPr>
          <w:p>
            <w:pPr>
              <w:spacing w:after="0" w:line="560" w:lineRule="exact"/>
              <w:jc w:val="center"/>
              <w:rPr>
                <w:rFonts w:ascii="仿宋_GB2312" w:eastAsia="仿宋_GB2312" w:cs="ArialUnicodeMS" w:hAnsiTheme="minorHAnsi"/>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61"/>
        <w:gridCol w:w="400"/>
        <w:gridCol w:w="775"/>
        <w:gridCol w:w="1823"/>
        <w:gridCol w:w="296"/>
        <w:gridCol w:w="581"/>
        <w:gridCol w:w="567"/>
        <w:gridCol w:w="1430"/>
      </w:tblGrid>
      <w:tr>
        <w:tblPrEx>
          <w:tblCellMar>
            <w:top w:w="0" w:type="dxa"/>
            <w:left w:w="0" w:type="dxa"/>
            <w:bottom w:w="0" w:type="dxa"/>
            <w:right w:w="0" w:type="dxa"/>
          </w:tblCellMar>
        </w:tblPrEx>
        <w:trPr>
          <w:trHeight w:val="567" w:hRule="atLeast"/>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收入</w:t>
            </w:r>
          </w:p>
        </w:tc>
        <w:tc>
          <w:tcPr>
            <w:tcW w:w="469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5"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项目</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行次</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金额</w:t>
            </w: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项目</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行次</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95"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栏次</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栏次</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65"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一、财政拨款收入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3,153.96</w:t>
            </w: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一、一般公共服务支出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31</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　　其中：政府性基金预算财政拨款</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32.00</w:t>
            </w: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二、外交支出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32</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二、上级补助收入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3</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三、国防支出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33</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三、事业收入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4</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四、公共安全支出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34</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四、经营收入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五、教育支出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35</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五、附属单位上缴收入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6</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六、科学技术支出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36</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六、其他收入</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七、文化体育与传媒支出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37</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八、社会保障和就业支出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38</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9</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九、医疗卫生与计划生育支出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39</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10</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十、节能环保支出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40</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11</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十一、城乡社区支出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41</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12</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十二、农林水支出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42</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745.42</w:t>
            </w: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13</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十三、交通运输支出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43</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14</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十四、资源勘探信息等支出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44</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15</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十五、商业服务业等支出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45</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16</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十六、金融支出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46</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17</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十七、援助其他地区支出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47</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18</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十八、国土海洋气象等支出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48</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19</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十九、住房保障支出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49</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20</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二十、粮油物资储备支出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50</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21</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二十一、其他支出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51</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二十二、债务还本支出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52</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0"/>
                <w:szCs w:val="20"/>
              </w:rPr>
            </w:pP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二十三、债务付息支出</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53</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34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本年收入合计</w:t>
            </w:r>
          </w:p>
        </w:tc>
        <w:tc>
          <w:tcPr>
            <w:tcW w:w="4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24</w:t>
            </w:r>
          </w:p>
        </w:tc>
        <w:tc>
          <w:tcPr>
            <w:tcW w:w="7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3,153.96</w:t>
            </w:r>
          </w:p>
        </w:tc>
        <w:tc>
          <w:tcPr>
            <w:tcW w:w="18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b/>
                <w:i w:val="0"/>
                <w:color w:val="000000"/>
                <w:kern w:val="0"/>
                <w:sz w:val="22"/>
                <w:szCs w:val="22"/>
                <w:u w:val="none"/>
                <w:lang w:val="en-US" w:eastAsia="zh-CN" w:bidi="ar"/>
              </w:rPr>
              <w:t>本年支出合计</w:t>
            </w:r>
          </w:p>
        </w:tc>
        <w:tc>
          <w:tcPr>
            <w:tcW w:w="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54</w:t>
            </w:r>
          </w:p>
        </w:tc>
        <w:tc>
          <w:tcPr>
            <w:tcW w:w="257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803.22</w:t>
            </w:r>
          </w:p>
        </w:tc>
      </w:tr>
      <w:tr>
        <w:tblPrEx>
          <w:tblCellMar>
            <w:top w:w="0" w:type="dxa"/>
            <w:left w:w="0" w:type="dxa"/>
            <w:bottom w:w="0" w:type="dxa"/>
            <w:right w:w="0" w:type="dxa"/>
          </w:tblCellMar>
        </w:tblPrEx>
        <w:trPr>
          <w:trHeight w:val="417" w:hRule="atLeast"/>
          <w:jc w:val="center"/>
        </w:trPr>
        <w:tc>
          <w:tcPr>
            <w:tcW w:w="9300" w:type="dxa"/>
            <w:gridSpan w:val="10"/>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056"/>
        <w:gridCol w:w="131"/>
        <w:gridCol w:w="131"/>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6"/>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科目编码</w:t>
            </w:r>
          </w:p>
        </w:tc>
        <w:tc>
          <w:tcPr>
            <w:tcW w:w="920"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科目名称</w:t>
            </w:r>
          </w:p>
        </w:tc>
        <w:tc>
          <w:tcPr>
            <w:tcW w:w="92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本年收入合计</w:t>
            </w:r>
          </w:p>
        </w:tc>
        <w:tc>
          <w:tcPr>
            <w:tcW w:w="921"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财政拨款收入</w:t>
            </w:r>
          </w:p>
        </w:tc>
        <w:tc>
          <w:tcPr>
            <w:tcW w:w="92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上级补助收入</w:t>
            </w:r>
          </w:p>
        </w:tc>
        <w:tc>
          <w:tcPr>
            <w:tcW w:w="921"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事业收入</w:t>
            </w:r>
          </w:p>
        </w:tc>
        <w:tc>
          <w:tcPr>
            <w:tcW w:w="92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经营收入</w:t>
            </w:r>
          </w:p>
        </w:tc>
        <w:tc>
          <w:tcPr>
            <w:tcW w:w="92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附属单位上缴收入</w:t>
            </w:r>
          </w:p>
        </w:tc>
      </w:tr>
      <w:tr>
        <w:tblPrEx>
          <w:tblCellMar>
            <w:top w:w="0" w:type="dxa"/>
            <w:left w:w="0" w:type="dxa"/>
            <w:bottom w:w="0" w:type="dxa"/>
            <w:right w:w="0" w:type="dxa"/>
          </w:tblCellMar>
        </w:tblPrEx>
        <w:trPr>
          <w:trHeight w:val="626" w:hRule="atLeast"/>
          <w:jc w:val="center"/>
        </w:trPr>
        <w:tc>
          <w:tcPr>
            <w:tcW w:w="2090"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类</w:t>
            </w:r>
          </w:p>
        </w:tc>
        <w:tc>
          <w:tcPr>
            <w:tcW w:w="131" w:type="dxa"/>
            <w:vMerge w:val="restart"/>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款</w:t>
            </w:r>
          </w:p>
        </w:tc>
        <w:tc>
          <w:tcPr>
            <w:tcW w:w="131" w:type="dxa"/>
            <w:vMerge w:val="restart"/>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920"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栏次</w:t>
            </w: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w:t>
            </w: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w:t>
            </w:r>
          </w:p>
        </w:tc>
        <w:tc>
          <w:tcPr>
            <w:tcW w:w="92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w:t>
            </w:r>
          </w:p>
        </w:tc>
        <w:tc>
          <w:tcPr>
            <w:tcW w:w="92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4</w:t>
            </w:r>
          </w:p>
        </w:tc>
        <w:tc>
          <w:tcPr>
            <w:tcW w:w="92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w:t>
            </w:r>
          </w:p>
        </w:tc>
        <w:tc>
          <w:tcPr>
            <w:tcW w:w="926"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91" w:hRule="atLeast"/>
          <w:jc w:val="center"/>
        </w:trPr>
        <w:tc>
          <w:tcPr>
            <w:tcW w:w="2090" w:type="dxa"/>
            <w:gridSpan w:val="4"/>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13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合计</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3,153.96</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3,153.96</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18"/>
                <w:szCs w:val="18"/>
              </w:rPr>
            </w:pP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18"/>
                <w:szCs w:val="18"/>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18"/>
                <w:szCs w:val="18"/>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212</w:t>
            </w:r>
          </w:p>
        </w:tc>
        <w:tc>
          <w:tcPr>
            <w:tcW w:w="92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城乡社区支出</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32.00</w:t>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32.00</w:t>
            </w: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2121100</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农林水支出</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3,121.96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3,121.96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2130124</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农业综合开发</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3,111.96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3,111.96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2130602</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土地治理</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2,384.00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2,384.00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2130603</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产业化发展</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713.00</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713.00</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235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2130699</w:t>
            </w:r>
          </w:p>
        </w:tc>
        <w:tc>
          <w:tcPr>
            <w:tcW w:w="92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其他农业综合开发支出</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14.96</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14.96</w:t>
            </w: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840"/>
        <w:gridCol w:w="138"/>
        <w:gridCol w:w="139"/>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科目编码</w:t>
            </w:r>
          </w:p>
        </w:tc>
        <w:tc>
          <w:tcPr>
            <w:tcW w:w="1083"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1084"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本年支出合计</w:t>
            </w:r>
          </w:p>
        </w:tc>
        <w:tc>
          <w:tcPr>
            <w:tcW w:w="1083"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基本支出</w:t>
            </w:r>
          </w:p>
        </w:tc>
        <w:tc>
          <w:tcPr>
            <w:tcW w:w="1084"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项目支出</w:t>
            </w:r>
          </w:p>
        </w:tc>
        <w:tc>
          <w:tcPr>
            <w:tcW w:w="1083"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上缴上级支出</w:t>
            </w:r>
          </w:p>
        </w:tc>
        <w:tc>
          <w:tcPr>
            <w:tcW w:w="1084" w:type="dxa"/>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经营支出</w:t>
            </w:r>
          </w:p>
        </w:tc>
      </w:tr>
      <w:tr>
        <w:tblPrEx>
          <w:tblCellMar>
            <w:top w:w="0" w:type="dxa"/>
            <w:left w:w="0" w:type="dxa"/>
            <w:bottom w:w="0" w:type="dxa"/>
            <w:right w:w="0" w:type="dxa"/>
          </w:tblCellMar>
        </w:tblPrEx>
        <w:trPr>
          <w:trHeight w:val="782" w:hRule="atLeast"/>
        </w:trPr>
        <w:tc>
          <w:tcPr>
            <w:tcW w:w="2222"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类</w:t>
            </w:r>
          </w:p>
        </w:tc>
        <w:tc>
          <w:tcPr>
            <w:tcW w:w="13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款</w:t>
            </w:r>
          </w:p>
        </w:tc>
        <w:tc>
          <w:tcPr>
            <w:tcW w:w="13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1083"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1084"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1083"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1084"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c>
          <w:tcPr>
            <w:tcW w:w="1083"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w:t>
            </w:r>
          </w:p>
        </w:tc>
        <w:tc>
          <w:tcPr>
            <w:tcW w:w="1084" w:type="dxa"/>
            <w:tcBorders>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95" w:hRule="atLeast"/>
        </w:trPr>
        <w:tc>
          <w:tcPr>
            <w:tcW w:w="2222" w:type="dxa"/>
            <w:gridSpan w:val="4"/>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3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3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803.22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803.22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40"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城乡社区支出</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农林水支出</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745.42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745.42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2130124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农业综合开发</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735.42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735.42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2130602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土地治理</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720.50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720.50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2499"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2130699</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其他农业综合开发支出</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14.96</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447"/>
        <w:gridCol w:w="134"/>
        <w:gridCol w:w="164"/>
        <w:gridCol w:w="325"/>
        <w:gridCol w:w="2338"/>
        <w:gridCol w:w="202"/>
        <w:gridCol w:w="434"/>
        <w:gridCol w:w="302"/>
        <w:gridCol w:w="249"/>
        <w:gridCol w:w="487"/>
        <w:gridCol w:w="163"/>
        <w:gridCol w:w="825"/>
        <w:gridCol w:w="1153"/>
      </w:tblGrid>
      <w:tr>
        <w:tblPrEx>
          <w:tblCellMar>
            <w:top w:w="0" w:type="dxa"/>
            <w:left w:w="0" w:type="dxa"/>
            <w:bottom w:w="0" w:type="dxa"/>
            <w:right w:w="0" w:type="dxa"/>
          </w:tblCellMar>
        </w:tblPrEx>
        <w:trPr>
          <w:trHeight w:val="152" w:hRule="atLeast"/>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0"/>
                <w:szCs w:val="20"/>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17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项目</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行次</w:t>
            </w:r>
          </w:p>
        </w:tc>
        <w:tc>
          <w:tcPr>
            <w:tcW w:w="48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金额</w:t>
            </w:r>
          </w:p>
        </w:tc>
        <w:tc>
          <w:tcPr>
            <w:tcW w:w="23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项目</w:t>
            </w:r>
          </w:p>
        </w:tc>
        <w:tc>
          <w:tcPr>
            <w:tcW w:w="2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行次</w:t>
            </w:r>
          </w:p>
        </w:tc>
        <w:tc>
          <w:tcPr>
            <w:tcW w:w="73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合计</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一般公共预算财政拨款</w:t>
            </w:r>
          </w:p>
        </w:tc>
        <w:tc>
          <w:tcPr>
            <w:tcW w:w="21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栏次</w:t>
            </w: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1</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栏次</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w:t>
            </w: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12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一、一般公共预算财政拨款</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3,121.96</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一、一般公共服务支出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29</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二、政府性基金预算财政拨款</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32.00</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二、外交支出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30</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三、国防支出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31</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四、公共安全支出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五、教育支出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33</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六、科学技术支出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34</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七、文化体育与传媒支出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35</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八、社会保障和就业支出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36</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九、医疗卫生与计划生育支出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37</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10</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十、节能环保支出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11</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十一、城乡社区支出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39</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57.80</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12</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十二、农林水支出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40</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745.42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745.42</w:t>
            </w: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13</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十三、交通运输支出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41</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14</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十四、资源勘探信息等支出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15</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十五、商业服务业等支出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43</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16</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十六、金融支出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44</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17</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十七、援助其他地区支出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45</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18</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十八、国土海洋气象等支出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46</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19</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十九、住房保障支出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47</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20</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二十、粮油物资储备支出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48</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21</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二十一、其他支出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49</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22</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二十二、债务还本支出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50</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13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23</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二十三、债务付息支出</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51</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本年收入合计</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24</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3,153.96</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本年支出合计</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52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803.22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745.42</w:t>
            </w: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12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年初财政拨款结转和结余</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25</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746.26</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年末财政拨款结转和结余</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53</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3,097.00</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3,097.00</w:t>
            </w: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26</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720.46</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54</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27</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25.80</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18"/>
                <w:szCs w:val="18"/>
              </w:rPr>
            </w:pP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55</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16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b/>
                <w:i w:val="0"/>
                <w:color w:val="000000"/>
                <w:kern w:val="0"/>
                <w:sz w:val="22"/>
                <w:szCs w:val="22"/>
                <w:u w:val="none"/>
                <w:lang w:val="en-US" w:eastAsia="zh-CN" w:bidi="ar"/>
              </w:rPr>
              <w:t>总计</w:t>
            </w:r>
          </w:p>
        </w:tc>
        <w:tc>
          <w:tcPr>
            <w:tcW w:w="13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28</w:t>
            </w:r>
          </w:p>
        </w:tc>
        <w:tc>
          <w:tcPr>
            <w:tcW w:w="48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3,900.22</w:t>
            </w:r>
          </w:p>
        </w:tc>
        <w:tc>
          <w:tcPr>
            <w:tcW w:w="23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b/>
                <w:i w:val="0"/>
                <w:color w:val="000000"/>
                <w:kern w:val="0"/>
                <w:sz w:val="22"/>
                <w:szCs w:val="22"/>
                <w:u w:val="none"/>
                <w:lang w:val="en-US" w:eastAsia="zh-CN" w:bidi="ar"/>
              </w:rPr>
              <w:t>总计</w:t>
            </w:r>
          </w:p>
        </w:tc>
        <w:tc>
          <w:tcPr>
            <w:tcW w:w="2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b/>
                <w:color w:val="000000"/>
                <w:sz w:val="18"/>
                <w:szCs w:val="18"/>
              </w:rPr>
            </w:pPr>
            <w:r>
              <w:rPr>
                <w:rFonts w:hint="eastAsia" w:ascii="宋体" w:hAnsi="宋体" w:eastAsia="宋体" w:cs="宋体"/>
                <w:i w:val="0"/>
                <w:color w:val="000000"/>
                <w:kern w:val="0"/>
                <w:sz w:val="22"/>
                <w:szCs w:val="22"/>
                <w:u w:val="none"/>
                <w:lang w:val="en-US" w:eastAsia="zh-CN" w:bidi="ar"/>
              </w:rPr>
              <w:t>56</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3,900.22</w:t>
            </w:r>
          </w:p>
        </w:tc>
        <w:tc>
          <w:tcPr>
            <w:tcW w:w="73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3,842.42</w:t>
            </w:r>
          </w:p>
        </w:tc>
        <w:tc>
          <w:tcPr>
            <w:tcW w:w="2141"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18"/>
                <w:szCs w:val="18"/>
              </w:rP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155" w:hRule="atLeast"/>
        </w:trPr>
        <w:tc>
          <w:tcPr>
            <w:tcW w:w="8940" w:type="dxa"/>
            <w:gridSpan w:val="1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958" w:type="dxa"/>
        <w:tblInd w:w="0" w:type="dxa"/>
        <w:shd w:val="clear" w:color="auto" w:fill="auto"/>
        <w:tblLayout w:type="fixed"/>
        <w:tblCellMar>
          <w:top w:w="0" w:type="dxa"/>
          <w:left w:w="0" w:type="dxa"/>
          <w:bottom w:w="0" w:type="dxa"/>
          <w:right w:w="0" w:type="dxa"/>
        </w:tblCellMar>
      </w:tblPr>
      <w:tblGrid>
        <w:gridCol w:w="645"/>
        <w:gridCol w:w="645"/>
        <w:gridCol w:w="645"/>
        <w:gridCol w:w="645"/>
        <w:gridCol w:w="1019"/>
        <w:gridCol w:w="1019"/>
        <w:gridCol w:w="5340"/>
      </w:tblGrid>
      <w:tr>
        <w:tblPrEx>
          <w:shd w:val="clear" w:color="auto" w:fill="auto"/>
          <w:tblCellMar>
            <w:top w:w="0" w:type="dxa"/>
            <w:left w:w="0" w:type="dxa"/>
            <w:bottom w:w="0" w:type="dxa"/>
            <w:right w:w="0" w:type="dxa"/>
          </w:tblCellMar>
        </w:tblPrEx>
        <w:trPr>
          <w:trHeight w:val="640" w:hRule="atLeast"/>
        </w:trPr>
        <w:tc>
          <w:tcPr>
            <w:tcW w:w="995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一般公共预算财政拨款收入支出决算表</w:t>
            </w:r>
          </w:p>
        </w:tc>
      </w:tr>
      <w:tr>
        <w:tblPrEx>
          <w:tblCellMar>
            <w:top w:w="0" w:type="dxa"/>
            <w:left w:w="0" w:type="dxa"/>
            <w:bottom w:w="0" w:type="dxa"/>
            <w:right w:w="0" w:type="dxa"/>
          </w:tblCellMar>
        </w:tblPrEx>
        <w:trPr>
          <w:trHeight w:val="255" w:hRule="atLeast"/>
        </w:trPr>
        <w:tc>
          <w:tcPr>
            <w:tcW w:w="4618"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部门：廊坊市霸州市农业开发办公室（本级）</w:t>
            </w:r>
          </w:p>
        </w:tc>
        <w:tc>
          <w:tcPr>
            <w:tcW w:w="5340" w:type="dxa"/>
            <w:tcBorders>
              <w:top w:val="nil"/>
              <w:left w:val="nil"/>
              <w:bottom w:val="nil"/>
              <w:right w:val="nil"/>
            </w:tcBorders>
            <w:shd w:val="clear" w:color="auto" w:fill="auto"/>
            <w:noWrap/>
            <w:tcMar>
              <w:top w:w="15" w:type="dxa"/>
              <w:left w:w="15" w:type="dxa"/>
              <w:right w:w="15" w:type="dxa"/>
            </w:tcMar>
            <w:vAlign w:val="bottom"/>
          </w:tcPr>
          <w:p>
            <w:pPr>
              <w:ind w:firstLine="4400" w:firstLineChars="2200"/>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eastAsia="zh-CN"/>
              </w:rPr>
              <w:t>公开</w:t>
            </w:r>
            <w:r>
              <w:rPr>
                <w:rFonts w:hint="eastAsia" w:ascii="Arial" w:hAnsi="Arial" w:cs="Arial"/>
                <w:i w:val="0"/>
                <w:color w:val="000000"/>
                <w:sz w:val="20"/>
                <w:szCs w:val="20"/>
                <w:u w:val="none"/>
                <w:lang w:val="en-US" w:eastAsia="zh-CN"/>
              </w:rPr>
              <w:t>05表</w:t>
            </w:r>
          </w:p>
          <w:p>
            <w:pPr>
              <w:ind w:firstLine="3800" w:firstLineChars="1900"/>
              <w:rPr>
                <w:rFonts w:hint="default"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金额单位：万元</w:t>
            </w:r>
          </w:p>
        </w:tc>
      </w:tr>
      <w:tr>
        <w:tblPrEx>
          <w:tblCellMar>
            <w:top w:w="0" w:type="dxa"/>
            <w:left w:w="0" w:type="dxa"/>
            <w:bottom w:w="0" w:type="dxa"/>
            <w:right w:w="0" w:type="dxa"/>
          </w:tblCellMar>
        </w:tblPrEx>
        <w:trPr>
          <w:trHeight w:val="255" w:hRule="atLeast"/>
        </w:trPr>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40" w:type="dxa"/>
            <w:tcBorders>
              <w:top w:val="nil"/>
              <w:left w:val="nil"/>
              <w:bottom w:val="nil"/>
              <w:right w:val="nil"/>
            </w:tcBorders>
            <w:shd w:val="clear" w:color="auto" w:fill="auto"/>
            <w:noWrap/>
            <w:tcMar>
              <w:top w:w="15" w:type="dxa"/>
              <w:left w:w="15" w:type="dxa"/>
              <w:right w:w="15" w:type="dxa"/>
            </w:tcMar>
            <w:vAlign w:val="bottom"/>
          </w:tcPr>
          <w:p>
            <w:pPr>
              <w:ind w:firstLine="4400" w:firstLineChars="2200"/>
              <w:rPr>
                <w:rFonts w:hint="eastAsia" w:ascii="Arial" w:hAnsi="Arial" w:cs="Arial"/>
                <w:i w:val="0"/>
                <w:color w:val="000000"/>
                <w:sz w:val="20"/>
                <w:szCs w:val="20"/>
                <w:u w:val="none"/>
                <w:lang w:eastAsia="zh-CN"/>
              </w:rPr>
            </w:pPr>
          </w:p>
        </w:tc>
      </w:tr>
      <w:tr>
        <w:tblPrEx>
          <w:tblCellMar>
            <w:top w:w="0" w:type="dxa"/>
            <w:left w:w="0" w:type="dxa"/>
            <w:bottom w:w="0" w:type="dxa"/>
            <w:right w:w="0" w:type="dxa"/>
          </w:tblCellMar>
        </w:tblPrEx>
        <w:trPr>
          <w:trHeight w:val="255" w:hRule="atLeast"/>
        </w:trPr>
        <w:tc>
          <w:tcPr>
            <w:tcW w:w="4618" w:type="dxa"/>
            <w:gridSpan w:val="6"/>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40" w:type="dxa"/>
            <w:tcBorders>
              <w:top w:val="nil"/>
              <w:left w:val="nil"/>
              <w:bottom w:val="nil"/>
              <w:right w:val="nil"/>
            </w:tcBorders>
            <w:shd w:val="clear" w:color="auto" w:fill="auto"/>
            <w:noWrap/>
            <w:tcMar>
              <w:top w:w="15" w:type="dxa"/>
              <w:left w:w="15" w:type="dxa"/>
              <w:right w:w="15" w:type="dxa"/>
            </w:tcMar>
            <w:vAlign w:val="bottom"/>
          </w:tcPr>
          <w:tbl>
            <w:tblPr>
              <w:tblStyle w:val="12"/>
              <w:tblW w:w="9958" w:type="dxa"/>
              <w:tblInd w:w="0" w:type="dxa"/>
              <w:tblLayout w:type="fixed"/>
              <w:tblCellMar>
                <w:top w:w="0" w:type="dxa"/>
                <w:left w:w="0" w:type="dxa"/>
                <w:bottom w:w="0" w:type="dxa"/>
                <w:right w:w="0" w:type="dxa"/>
              </w:tblCellMar>
            </w:tblPr>
            <w:tblGrid>
              <w:gridCol w:w="3121"/>
            </w:tblGrid>
            <w:tr>
              <w:tblPrEx>
                <w:tblCellMar>
                  <w:top w:w="0" w:type="dxa"/>
                  <w:left w:w="0" w:type="dxa"/>
                  <w:bottom w:w="0" w:type="dxa"/>
                  <w:right w:w="0" w:type="dxa"/>
                </w:tblCellMar>
              </w:tblPrEx>
              <w:trPr>
                <w:trHeight w:val="334" w:hRule="atLeast"/>
              </w:trPr>
              <w:tc>
                <w:tcPr>
                  <w:tcW w:w="312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lang w:val="en-US" w:eastAsia="zh-CN"/>
                    </w:rPr>
                    <w:t xml:space="preserve">   </w:t>
                  </w:r>
                </w:p>
              </w:tc>
            </w:tr>
          </w:tbl>
          <w:p>
            <w:pPr>
              <w:rPr>
                <w:rFonts w:hint="eastAsia" w:ascii="Arial" w:hAnsi="Arial" w:eastAsia="宋体" w:cs="Arial"/>
                <w:i w:val="0"/>
                <w:color w:val="000000"/>
                <w:sz w:val="20"/>
                <w:szCs w:val="20"/>
                <w:u w:val="none"/>
                <w:lang w:eastAsia="zh-CN"/>
              </w:rPr>
            </w:pPr>
          </w:p>
        </w:tc>
      </w:tr>
      <w:tr>
        <w:tblPrEx>
          <w:tblCellMar>
            <w:top w:w="0" w:type="dxa"/>
            <w:left w:w="0" w:type="dxa"/>
            <w:bottom w:w="0" w:type="dxa"/>
            <w:right w:w="0" w:type="dxa"/>
          </w:tblCellMar>
        </w:tblPrEx>
        <w:trPr>
          <w:trHeight w:val="308" w:hRule="atLeast"/>
        </w:trPr>
        <w:tc>
          <w:tcPr>
            <w:tcW w:w="19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7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3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4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6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6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08" w:hRule="atLeast"/>
        </w:trPr>
        <w:tc>
          <w:tcPr>
            <w:tcW w:w="64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745.42</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745.42</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745.42</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745.42</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2130124</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农业组织化与产业化经营</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农业综合开发</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735.42</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735.42</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2130602</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土地治理</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720.46</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720.46</w:t>
            </w:r>
          </w:p>
        </w:tc>
      </w:tr>
      <w:tr>
        <w:tblPrEx>
          <w:tblCellMar>
            <w:top w:w="0" w:type="dxa"/>
            <w:left w:w="0" w:type="dxa"/>
            <w:bottom w:w="0" w:type="dxa"/>
            <w:right w:w="0" w:type="dxa"/>
          </w:tblCellMar>
        </w:tblPrEx>
        <w:trPr>
          <w:trHeight w:val="308"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2130603</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产业化发展</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39" w:hRule="atLeast"/>
        </w:trPr>
        <w:tc>
          <w:tcPr>
            <w:tcW w:w="193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2130699</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其他农业综合开发支出</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w:t>
            </w:r>
          </w:p>
        </w:tc>
        <w:tc>
          <w:tcPr>
            <w:tcW w:w="10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w:t>
            </w:r>
          </w:p>
        </w:tc>
      </w:tr>
      <w:tr>
        <w:tblPrEx>
          <w:tblCellMar>
            <w:top w:w="0" w:type="dxa"/>
            <w:left w:w="0" w:type="dxa"/>
            <w:bottom w:w="0" w:type="dxa"/>
            <w:right w:w="0" w:type="dxa"/>
          </w:tblCellMar>
        </w:tblPrEx>
        <w:trPr>
          <w:trHeight w:val="308" w:hRule="atLeast"/>
        </w:trPr>
        <w:tc>
          <w:tcPr>
            <w:tcW w:w="995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cs="宋体"/>
                <w:color w:val="000000"/>
                <w:kern w:val="0"/>
                <w:szCs w:val="21"/>
              </w:rPr>
              <w:t>注：本表反映部门本年度一般公共预算财政拨款收入及支出情况。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注：本表反映部门本年度一般公共预算财政拨款基本支出明细情况。  </w:t>
            </w:r>
          </w:p>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本部门本年度无相关收入（或支出、收支及结转结余等）情况，按要求空表列示。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270"/>
        <w:gridCol w:w="1257"/>
        <w:gridCol w:w="285"/>
        <w:gridCol w:w="1243"/>
        <w:gridCol w:w="186"/>
        <w:gridCol w:w="1344"/>
        <w:gridCol w:w="85"/>
        <w:gridCol w:w="1429"/>
        <w:gridCol w:w="16"/>
        <w:gridCol w:w="1527"/>
      </w:tblGrid>
      <w:tr>
        <w:tblPrEx>
          <w:tblCellMar>
            <w:top w:w="0" w:type="dxa"/>
            <w:left w:w="0" w:type="dxa"/>
            <w:bottom w:w="0" w:type="dxa"/>
            <w:right w:w="0" w:type="dxa"/>
          </w:tblCellMar>
        </w:tblPrEx>
        <w:trPr>
          <w:trHeight w:val="584" w:hRule="atLeast"/>
          <w:jc w:val="center"/>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预算数</w:t>
            </w:r>
          </w:p>
        </w:tc>
      </w:tr>
      <w:tr>
        <w:tblPrEx>
          <w:tblCellMar>
            <w:top w:w="0" w:type="dxa"/>
            <w:left w:w="0" w:type="dxa"/>
            <w:bottom w:w="0" w:type="dxa"/>
            <w:right w:w="0" w:type="dxa"/>
          </w:tblCellMar>
        </w:tblPrEx>
        <w:trPr>
          <w:trHeight w:val="435" w:hRule="atLeast"/>
          <w:jc w:val="center"/>
        </w:trPr>
        <w:tc>
          <w:tcPr>
            <w:tcW w:w="1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合计</w:t>
            </w:r>
          </w:p>
        </w:tc>
        <w:tc>
          <w:tcPr>
            <w:tcW w:w="15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因公出国（境）费</w:t>
            </w:r>
          </w:p>
        </w:tc>
        <w:tc>
          <w:tcPr>
            <w:tcW w:w="428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公务用车购置及运行费</w:t>
            </w:r>
          </w:p>
        </w:tc>
        <w:tc>
          <w:tcPr>
            <w:tcW w:w="15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公务接待费</w:t>
            </w:r>
          </w:p>
        </w:tc>
      </w:tr>
      <w:tr>
        <w:tblPrEx>
          <w:tblCellMar>
            <w:top w:w="0" w:type="dxa"/>
            <w:left w:w="0" w:type="dxa"/>
            <w:bottom w:w="0" w:type="dxa"/>
            <w:right w:w="0" w:type="dxa"/>
          </w:tblCellMar>
        </w:tblPrEx>
        <w:trPr>
          <w:trHeight w:val="686" w:hRule="atLeast"/>
          <w:jc w:val="center"/>
        </w:trPr>
        <w:tc>
          <w:tcPr>
            <w:tcW w:w="1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5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小计</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公务用车购置费</w:t>
            </w:r>
          </w:p>
        </w:tc>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公务用车运行费</w:t>
            </w:r>
          </w:p>
        </w:tc>
        <w:tc>
          <w:tcPr>
            <w:tcW w:w="15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1</w:t>
            </w: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2</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3</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4</w:t>
            </w:r>
          </w:p>
        </w:tc>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5</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6</w:t>
            </w:r>
          </w:p>
        </w:tc>
      </w:tr>
      <w:tr>
        <w:tblPrEx>
          <w:tblCellMar>
            <w:top w:w="0" w:type="dxa"/>
            <w:left w:w="0" w:type="dxa"/>
            <w:bottom w:w="0" w:type="dxa"/>
            <w:right w:w="0" w:type="dxa"/>
          </w:tblCellMar>
        </w:tblPrEx>
        <w:trPr>
          <w:trHeight w:val="435" w:hRule="atLeast"/>
          <w:jc w:val="center"/>
        </w:trPr>
        <w:tc>
          <w:tcPr>
            <w:tcW w:w="14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54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1"/>
                <w:szCs w:val="21"/>
                <w:u w:val="none"/>
                <w:lang w:val="en-US" w:eastAsia="zh-CN" w:bidi="ar"/>
              </w:rPr>
              <w:t xml:space="preserve">0.23 </w:t>
            </w:r>
          </w:p>
        </w:tc>
      </w:tr>
      <w:tr>
        <w:tblPrEx>
          <w:tblCellMar>
            <w:top w:w="0" w:type="dxa"/>
            <w:left w:w="0" w:type="dxa"/>
            <w:bottom w:w="0" w:type="dxa"/>
            <w:right w:w="0" w:type="dxa"/>
          </w:tblCellMar>
        </w:tblPrEx>
        <w:trPr>
          <w:trHeight w:val="498" w:hRule="atLeast"/>
          <w:jc w:val="center"/>
        </w:trPr>
        <w:tc>
          <w:tcPr>
            <w:tcW w:w="880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148"/>
        <w:gridCol w:w="113"/>
        <w:gridCol w:w="115"/>
        <w:gridCol w:w="1166"/>
        <w:gridCol w:w="344"/>
        <w:gridCol w:w="150"/>
        <w:gridCol w:w="346"/>
        <w:gridCol w:w="1191"/>
        <w:gridCol w:w="276"/>
        <w:gridCol w:w="639"/>
        <w:gridCol w:w="277"/>
        <w:gridCol w:w="1192"/>
        <w:gridCol w:w="520"/>
        <w:gridCol w:w="227"/>
        <w:gridCol w:w="521"/>
      </w:tblGrid>
      <w:tr>
        <w:tblPrEx>
          <w:tblCellMar>
            <w:top w:w="0" w:type="dxa"/>
            <w:left w:w="0" w:type="dxa"/>
            <w:bottom w:w="0" w:type="dxa"/>
            <w:right w:w="0" w:type="dxa"/>
          </w:tblCellMar>
        </w:tblPrEx>
        <w:trPr>
          <w:trHeight w:val="707" w:hRule="atLeast"/>
        </w:trPr>
        <w:tc>
          <w:tcPr>
            <w:tcW w:w="8860" w:type="dxa"/>
            <w:gridSpan w:val="19"/>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8"/>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84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科目编码</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科目名称</w:t>
            </w:r>
          </w:p>
        </w:tc>
        <w:tc>
          <w:tcPr>
            <w:tcW w:w="84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年初结转和结余</w:t>
            </w:r>
          </w:p>
        </w:tc>
        <w:tc>
          <w:tcPr>
            <w:tcW w:w="357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本年收入</w:t>
            </w:r>
          </w:p>
        </w:tc>
        <w:tc>
          <w:tcPr>
            <w:tcW w:w="126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24" w:hRule="atLeast"/>
        </w:trPr>
        <w:tc>
          <w:tcPr>
            <w:tcW w:w="2011" w:type="dxa"/>
            <w:gridSpan w:val="7"/>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4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基本支出结转</w:t>
            </w:r>
          </w:p>
        </w:tc>
        <w:tc>
          <w:tcPr>
            <w:tcW w:w="34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项目支出结转和结余</w:t>
            </w:r>
          </w:p>
        </w:tc>
        <w:tc>
          <w:tcPr>
            <w:tcW w:w="146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63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基本支出</w:t>
            </w:r>
          </w:p>
        </w:tc>
        <w:tc>
          <w:tcPr>
            <w:tcW w:w="146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项目支出</w:t>
            </w:r>
          </w:p>
        </w:tc>
        <w:tc>
          <w:tcPr>
            <w:tcW w:w="5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2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基本支出</w:t>
            </w:r>
          </w:p>
        </w:tc>
        <w:tc>
          <w:tcPr>
            <w:tcW w:w="5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24" w:hRule="atLeast"/>
        </w:trPr>
        <w:tc>
          <w:tcPr>
            <w:tcW w:w="2011" w:type="dxa"/>
            <w:gridSpan w:val="7"/>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4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3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46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63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6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5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312" w:hRule="atLeast"/>
        </w:trPr>
        <w:tc>
          <w:tcPr>
            <w:tcW w:w="1783"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类</w:t>
            </w:r>
          </w:p>
        </w:tc>
        <w:tc>
          <w:tcPr>
            <w:tcW w:w="11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款</w:t>
            </w:r>
          </w:p>
        </w:tc>
        <w:tc>
          <w:tcPr>
            <w:tcW w:w="11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w:t>
            </w:r>
          </w:p>
        </w:tc>
        <w:tc>
          <w:tcPr>
            <w:tcW w:w="116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34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1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3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14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w:t>
            </w:r>
          </w:p>
        </w:tc>
        <w:tc>
          <w:tcPr>
            <w:tcW w:w="6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w:t>
            </w:r>
          </w:p>
        </w:tc>
        <w:tc>
          <w:tcPr>
            <w:tcW w:w="146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w:t>
            </w:r>
          </w:p>
        </w:tc>
        <w:tc>
          <w:tcPr>
            <w:tcW w:w="5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w:t>
            </w:r>
          </w:p>
        </w:tc>
        <w:tc>
          <w:tcPr>
            <w:tcW w:w="22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8</w:t>
            </w:r>
          </w:p>
        </w:tc>
        <w:tc>
          <w:tcPr>
            <w:tcW w:w="52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324" w:hRule="atLeast"/>
        </w:trPr>
        <w:tc>
          <w:tcPr>
            <w:tcW w:w="1783" w:type="dxa"/>
            <w:gridSpan w:val="5"/>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1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1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25.80</w:t>
            </w:r>
          </w:p>
        </w:tc>
        <w:tc>
          <w:tcPr>
            <w:tcW w:w="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25.80</w:t>
            </w:r>
          </w:p>
        </w:tc>
        <w:tc>
          <w:tcPr>
            <w:tcW w:w="14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32.00</w:t>
            </w:r>
          </w:p>
        </w:tc>
        <w:tc>
          <w:tcPr>
            <w:tcW w:w="6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32.00</w:t>
            </w:r>
          </w:p>
        </w:tc>
        <w:tc>
          <w:tcPr>
            <w:tcW w:w="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b/>
                <w:i w:val="0"/>
                <w:color w:val="000000"/>
                <w:kern w:val="0"/>
                <w:sz w:val="22"/>
                <w:szCs w:val="22"/>
                <w:u w:val="none"/>
                <w:lang w:val="en-US" w:eastAsia="zh-CN" w:bidi="ar"/>
              </w:rPr>
              <w:t>57.80</w:t>
            </w: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324" w:hRule="atLeast"/>
        </w:trPr>
        <w:tc>
          <w:tcPr>
            <w:tcW w:w="2011"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城乡社区支出</w:t>
            </w:r>
          </w:p>
        </w:tc>
        <w:tc>
          <w:tcPr>
            <w:tcW w:w="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25.80</w:t>
            </w:r>
          </w:p>
        </w:tc>
        <w:tc>
          <w:tcPr>
            <w:tcW w:w="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25.80</w:t>
            </w:r>
          </w:p>
        </w:tc>
        <w:tc>
          <w:tcPr>
            <w:tcW w:w="14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32.00</w:t>
            </w:r>
          </w:p>
        </w:tc>
        <w:tc>
          <w:tcPr>
            <w:tcW w:w="6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b/>
                <w:color w:val="000000"/>
                <w:szCs w:val="21"/>
              </w:rPr>
            </w:pPr>
          </w:p>
        </w:tc>
        <w:tc>
          <w:tcPr>
            <w:tcW w:w="1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32.00</w:t>
            </w:r>
          </w:p>
        </w:tc>
        <w:tc>
          <w:tcPr>
            <w:tcW w:w="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i w:val="0"/>
                <w:color w:val="000000"/>
                <w:kern w:val="0"/>
                <w:sz w:val="22"/>
                <w:szCs w:val="22"/>
                <w:u w:val="none"/>
                <w:lang w:val="en-US" w:eastAsia="zh-CN" w:bidi="ar"/>
              </w:rPr>
              <w:t>57.80</w:t>
            </w: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324" w:hRule="atLeast"/>
        </w:trPr>
        <w:tc>
          <w:tcPr>
            <w:tcW w:w="2011"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农业土地开发资金及对应专项债务收入安排的支出</w:t>
            </w:r>
          </w:p>
        </w:tc>
        <w:tc>
          <w:tcPr>
            <w:tcW w:w="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25.80</w:t>
            </w:r>
          </w:p>
        </w:tc>
        <w:tc>
          <w:tcPr>
            <w:tcW w:w="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25.80</w:t>
            </w:r>
          </w:p>
        </w:tc>
        <w:tc>
          <w:tcPr>
            <w:tcW w:w="14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6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324" w:hRule="atLeast"/>
        </w:trPr>
        <w:tc>
          <w:tcPr>
            <w:tcW w:w="2011"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2121100</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 xml:space="preserve">  农业土地开发资金及对应专项债务收入安排的支出</w:t>
            </w:r>
          </w:p>
        </w:tc>
        <w:tc>
          <w:tcPr>
            <w:tcW w:w="3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25.80</w:t>
            </w:r>
          </w:p>
        </w:tc>
        <w:tc>
          <w:tcPr>
            <w:tcW w:w="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3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25.80</w:t>
            </w:r>
          </w:p>
        </w:tc>
        <w:tc>
          <w:tcPr>
            <w:tcW w:w="14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6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6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32.00</w:t>
            </w:r>
          </w:p>
        </w:tc>
        <w:tc>
          <w:tcPr>
            <w:tcW w:w="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57.80</w:t>
            </w:r>
          </w:p>
        </w:tc>
        <w:tc>
          <w:tcPr>
            <w:tcW w:w="2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57.80</w:t>
            </w:r>
          </w:p>
        </w:tc>
      </w:tr>
      <w:tr>
        <w:tblPrEx>
          <w:tblCellMar>
            <w:top w:w="0" w:type="dxa"/>
            <w:left w:w="0" w:type="dxa"/>
            <w:bottom w:w="0" w:type="dxa"/>
            <w:right w:w="0" w:type="dxa"/>
          </w:tblCellMar>
        </w:tblPrEx>
        <w:trPr>
          <w:trHeight w:val="324" w:hRule="atLeast"/>
        </w:trPr>
        <w:tc>
          <w:tcPr>
            <w:tcW w:w="8860" w:type="dxa"/>
            <w:gridSpan w:val="19"/>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本部门本年度无相关收入（或支出、收支及结转结余等）情况，按要求空表列示。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669"/>
        <w:gridCol w:w="534"/>
        <w:gridCol w:w="116"/>
        <w:gridCol w:w="674"/>
        <w:gridCol w:w="598"/>
        <w:gridCol w:w="675"/>
        <w:gridCol w:w="804"/>
        <w:gridCol w:w="469"/>
        <w:gridCol w:w="389"/>
        <w:gridCol w:w="2111"/>
      </w:tblGrid>
      <w:tr>
        <w:tblPrEx>
          <w:tblCellMar>
            <w:top w:w="0" w:type="dxa"/>
            <w:left w:w="0" w:type="dxa"/>
            <w:bottom w:w="0" w:type="dxa"/>
            <w:right w:w="0" w:type="dxa"/>
          </w:tblCellMar>
        </w:tblPrEx>
        <w:trPr>
          <w:trHeight w:val="635" w:hRule="atLeast"/>
        </w:trPr>
        <w:tc>
          <w:tcPr>
            <w:tcW w:w="894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9"/>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eastAsia="宋体" w:cs="宋体"/>
                <w:i w:val="0"/>
                <w:color w:val="000000"/>
                <w:kern w:val="0"/>
                <w:sz w:val="20"/>
                <w:szCs w:val="20"/>
                <w:u w:val="none"/>
                <w:lang w:val="en-US" w:eastAsia="zh-CN" w:bidi="ar"/>
              </w:rPr>
              <w:t>廊坊市霸州市农业开发办公室（本级）</w:t>
            </w:r>
          </w:p>
        </w:tc>
        <w:tc>
          <w:tcPr>
            <w:tcW w:w="250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7039"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6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总计</w:t>
            </w:r>
          </w:p>
        </w:tc>
        <w:tc>
          <w:tcPr>
            <w:tcW w:w="425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采购预算(财政性资金)</w:t>
            </w:r>
          </w:p>
        </w:tc>
        <w:tc>
          <w:tcPr>
            <w:tcW w:w="211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6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27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一般公共预算</w:t>
            </w:r>
          </w:p>
        </w:tc>
        <w:tc>
          <w:tcPr>
            <w:tcW w:w="147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政府性基金预算</w:t>
            </w:r>
          </w:p>
        </w:tc>
        <w:tc>
          <w:tcPr>
            <w:tcW w:w="85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其他资金</w:t>
            </w:r>
          </w:p>
        </w:tc>
        <w:tc>
          <w:tcPr>
            <w:tcW w:w="211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3</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4</w:t>
            </w: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      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827.02</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827.02</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827.02</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货物</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282.61</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282.61</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282.61</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工程</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544.41</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544.41</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544.41</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服务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项目</w:t>
            </w:r>
          </w:p>
        </w:tc>
        <w:tc>
          <w:tcPr>
            <w:tcW w:w="7039"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6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总计</w:t>
            </w:r>
          </w:p>
        </w:tc>
        <w:tc>
          <w:tcPr>
            <w:tcW w:w="4259"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采购预算(财政性资金)</w:t>
            </w:r>
          </w:p>
        </w:tc>
        <w:tc>
          <w:tcPr>
            <w:tcW w:w="2111"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6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合计</w:t>
            </w:r>
          </w:p>
        </w:tc>
        <w:tc>
          <w:tcPr>
            <w:tcW w:w="127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一般公共预算</w:t>
            </w:r>
          </w:p>
        </w:tc>
        <w:tc>
          <w:tcPr>
            <w:tcW w:w="147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政府性基金预算</w:t>
            </w:r>
          </w:p>
        </w:tc>
        <w:tc>
          <w:tcPr>
            <w:tcW w:w="85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其他资金</w:t>
            </w:r>
          </w:p>
        </w:tc>
        <w:tc>
          <w:tcPr>
            <w:tcW w:w="2111"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栏次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8</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9</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10</w:t>
            </w: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11</w:t>
            </w: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合      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787.84</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787.84</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787.84</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货物</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270.16</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270.16</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270.16</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工程</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517.68</w:t>
            </w: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517.68</w:t>
            </w: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517.68</w:t>
            </w: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服务</w:t>
            </w:r>
          </w:p>
        </w:tc>
        <w:tc>
          <w:tcPr>
            <w:tcW w:w="6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6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27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147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85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c>
          <w:tcPr>
            <w:tcW w:w="21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hint="eastAsia" w:ascii="仿宋_GB2312" w:hAnsi="Times New Roman" w:eastAsia="仿宋_GB2312" w:cs="DengXian-Regular"/>
          <w:sz w:val="32"/>
          <w:szCs w:val="32"/>
          <w:lang w:eastAsia="zh-CN"/>
        </w:rPr>
      </w:pPr>
      <w:r>
        <w:rPr>
          <w:rFonts w:hint="eastAsia" w:ascii="仿宋_GB2312" w:eastAsia="仿宋_GB2312" w:cs="DengXian-Regular"/>
          <w:sz w:val="32"/>
          <w:szCs w:val="32"/>
        </w:rPr>
        <w:t>本部门2018年度收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w:t>
      </w:r>
      <w:r>
        <w:rPr>
          <w:rFonts w:hint="eastAsia" w:ascii="仿宋_GB2312" w:hAnsi="Times New Roman" w:eastAsia="仿宋_GB2312" w:cs="DengXian-Regular"/>
          <w:sz w:val="32"/>
          <w:szCs w:val="32"/>
        </w:rPr>
        <w:t>和结余）</w:t>
      </w:r>
      <w:r>
        <w:rPr>
          <w:rFonts w:hint="eastAsia" w:ascii="仿宋_GB2312" w:hAnsi="Times New Roman" w:eastAsia="仿宋_GB2312" w:cs="DengXian-Regular"/>
          <w:sz w:val="32"/>
          <w:szCs w:val="32"/>
          <w:lang w:val="en-US" w:eastAsia="zh-CN"/>
        </w:rPr>
        <w:t>3900.22</w:t>
      </w:r>
      <w:r>
        <w:rPr>
          <w:rFonts w:hint="eastAsia" w:ascii="仿宋_GB2312" w:hAnsi="Times New Roman" w:eastAsia="仿宋_GB2312" w:cs="DengXian-Regular"/>
          <w:sz w:val="32"/>
          <w:szCs w:val="32"/>
        </w:rPr>
        <w:t>万元。与2017年度决算相比，收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2931.67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302.69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2018年增加了农发项目申请力度，立项个数与建设规模均有大幅增长</w:t>
      </w:r>
      <w:r>
        <w:rPr>
          <w:rFonts w:hint="eastAsia" w:ascii="仿宋_GB2312" w:eastAsia="仿宋_GB2312" w:cs="DengXian-Regular"/>
          <w:sz w:val="32"/>
          <w:szCs w:val="32"/>
          <w:lang w:val="en-US" w:eastAsia="zh-CN"/>
        </w:rPr>
        <w:t>，上级下达专线转移支付增加</w:t>
      </w:r>
      <w:r>
        <w:rPr>
          <w:rFonts w:hint="eastAsia" w:ascii="仿宋_GB2312" w:hAnsi="Times New Roman" w:eastAsia="仿宋_GB2312" w:cs="DengXian-Regular"/>
          <w:sz w:val="32"/>
          <w:szCs w:val="32"/>
        </w:rPr>
        <w:t>。决算支出总计</w:t>
      </w:r>
      <w:r>
        <w:rPr>
          <w:rFonts w:hint="eastAsia" w:ascii="仿宋_GB2312" w:hAnsi="Times New Roman" w:eastAsia="仿宋_GB2312" w:cs="DengXian-Regular"/>
          <w:sz w:val="32"/>
          <w:szCs w:val="32"/>
          <w:lang w:val="en-US" w:eastAsia="zh-CN"/>
        </w:rPr>
        <w:t>803.22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与2017年度决算相比，</w:t>
      </w:r>
      <w:r>
        <w:rPr>
          <w:rFonts w:hint="eastAsia" w:ascii="仿宋_GB2312" w:hAnsi="Times New Roman" w:eastAsia="仿宋_GB2312" w:cs="DengXian-Regular"/>
          <w:sz w:val="32"/>
          <w:szCs w:val="32"/>
          <w:lang w:val="en-US" w:eastAsia="zh-CN"/>
        </w:rPr>
        <w:t>减少433.44万元，降低35.05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2017年度支出资金主要是2016年项目，2018年支出主要是2017年项目支出，2017年我单位项目规模较2016年项目规模减少约35%。</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hAnsi="仿宋" w:eastAsia="仿宋_GB2312"/>
          <w:color w:val="auto"/>
          <w:sz w:val="32"/>
          <w:szCs w:val="32"/>
          <w:lang w:val="en-US" w:eastAsia="zh-CN"/>
        </w:rPr>
        <w:t>3900.22</w:t>
      </w:r>
      <w:r>
        <w:rPr>
          <w:rFonts w:hint="eastAsia" w:ascii="仿宋_GB2312" w:eastAsia="仿宋_GB2312" w:cs="DengXian-Regular"/>
          <w:sz w:val="32"/>
          <w:szCs w:val="32"/>
        </w:rPr>
        <w:t>万元，其中：财政拨款收入</w:t>
      </w:r>
      <w:r>
        <w:rPr>
          <w:rFonts w:hint="eastAsia" w:ascii="仿宋_GB2312" w:hAnsi="仿宋" w:eastAsia="仿宋_GB2312"/>
          <w:color w:val="auto"/>
          <w:sz w:val="32"/>
          <w:szCs w:val="32"/>
          <w:lang w:val="en-US" w:eastAsia="zh-CN"/>
        </w:rPr>
        <w:t>3900.22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3900.22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hAnsi="仿宋" w:eastAsia="仿宋_GB2312"/>
          <w:color w:val="auto"/>
          <w:sz w:val="32"/>
          <w:szCs w:val="32"/>
          <w:lang w:val="en-US" w:eastAsia="zh-CN"/>
        </w:rPr>
        <w:t>803.22</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%；项目支出</w:t>
      </w:r>
      <w:r>
        <w:rPr>
          <w:rFonts w:hint="eastAsia" w:ascii="仿宋_GB2312" w:hAnsi="仿宋" w:eastAsia="仿宋_GB2312"/>
          <w:color w:val="auto"/>
          <w:sz w:val="32"/>
          <w:szCs w:val="32"/>
          <w:lang w:val="en-US" w:eastAsia="zh-CN"/>
        </w:rPr>
        <w:t>803.22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color w:val="auto"/>
          <w:sz w:val="32"/>
          <w:szCs w:val="32"/>
        </w:rPr>
      </w:pPr>
      <w:r>
        <w:rPr>
          <w:rFonts w:hint="eastAsia" w:ascii="仿宋_GB2312" w:eastAsia="仿宋_GB2312" w:cs="DengXian-Regular"/>
          <w:sz w:val="32"/>
          <w:szCs w:val="32"/>
        </w:rPr>
        <w:t>本部门2</w:t>
      </w:r>
      <w:r>
        <w:rPr>
          <w:rFonts w:hint="eastAsia" w:ascii="仿宋_GB2312" w:eastAsia="仿宋_GB2312" w:cs="DengXian-Regular"/>
          <w:color w:val="auto"/>
          <w:sz w:val="32"/>
          <w:szCs w:val="32"/>
        </w:rPr>
        <w:t>018年度形成的财政拨款收支均为一般公共预算财政拨款，其中一般公共预算财政拨款本年收入</w:t>
      </w:r>
      <w:r>
        <w:rPr>
          <w:rFonts w:hint="eastAsia" w:ascii="仿宋_GB2312" w:hAnsi="仿宋_GB2312" w:eastAsia="仿宋_GB2312" w:cs="仿宋_GB2312"/>
          <w:color w:val="auto"/>
          <w:sz w:val="32"/>
          <w:szCs w:val="32"/>
          <w:lang w:val="en-US" w:eastAsia="zh-CN"/>
        </w:rPr>
        <w:t>3153.96</w:t>
      </w:r>
      <w:r>
        <w:rPr>
          <w:rFonts w:hint="eastAsia" w:ascii="仿宋_GB2312" w:eastAsia="仿宋_GB2312" w:cs="DengXian-Regular"/>
          <w:color w:val="auto"/>
          <w:sz w:val="32"/>
          <w:szCs w:val="32"/>
        </w:rPr>
        <w:t>万元,比2017年度增加</w:t>
      </w:r>
      <w:r>
        <w:rPr>
          <w:rFonts w:hint="eastAsia" w:ascii="仿宋_GB2312" w:hAnsi="仿宋_GB2312" w:eastAsia="仿宋_GB2312" w:cs="仿宋_GB2312"/>
          <w:color w:val="auto"/>
          <w:sz w:val="32"/>
          <w:lang w:val="en-US" w:eastAsia="zh-CN"/>
        </w:rPr>
        <w:t>284.14</w:t>
      </w:r>
      <w:r>
        <w:rPr>
          <w:rFonts w:hint="eastAsia" w:ascii="仿宋_GB2312" w:eastAsia="仿宋_GB2312" w:cs="DengXian-Regular"/>
          <w:color w:val="auto"/>
          <w:sz w:val="32"/>
          <w:szCs w:val="32"/>
        </w:rPr>
        <w:t>万元，增长</w:t>
      </w:r>
      <w:r>
        <w:rPr>
          <w:rFonts w:hint="eastAsia" w:ascii="仿宋_GB2312" w:hAnsi="仿宋_GB2312" w:eastAsia="仿宋_GB2312" w:cs="仿宋_GB2312"/>
          <w:color w:val="auto"/>
          <w:sz w:val="32"/>
          <w:szCs w:val="32"/>
          <w:lang w:val="en-US" w:eastAsia="zh-CN"/>
        </w:rPr>
        <w:t>262.60</w:t>
      </w:r>
      <w:r>
        <w:rPr>
          <w:rFonts w:hint="eastAsia" w:ascii="仿宋_GB2312" w:eastAsia="仿宋_GB2312" w:cs="DengXian-Regular"/>
          <w:color w:val="auto"/>
          <w:sz w:val="32"/>
          <w:szCs w:val="32"/>
        </w:rPr>
        <w:t>%，主要是</w:t>
      </w:r>
      <w:r>
        <w:rPr>
          <w:rFonts w:hint="eastAsia" w:ascii="仿宋_GB2312" w:hAnsi="仿宋_GB2312" w:eastAsia="仿宋_GB2312" w:cs="仿宋_GB2312"/>
          <w:color w:val="auto"/>
          <w:sz w:val="32"/>
          <w:szCs w:val="32"/>
          <w:lang w:val="en-US" w:eastAsia="zh-CN"/>
        </w:rPr>
        <w:t>2018年上级批复我市农发项目规模和数量均有较大幅度增长</w:t>
      </w:r>
      <w:r>
        <w:rPr>
          <w:rFonts w:hint="eastAsia" w:ascii="仿宋_GB2312" w:eastAsia="仿宋_GB2312" w:cs="DengXian-Regular"/>
          <w:color w:val="auto"/>
          <w:sz w:val="32"/>
          <w:szCs w:val="32"/>
        </w:rPr>
        <w:t>；本年支出</w:t>
      </w:r>
      <w:r>
        <w:rPr>
          <w:rFonts w:hint="eastAsia" w:ascii="仿宋_GB2312" w:hAnsi="仿宋_GB2312" w:eastAsia="仿宋_GB2312" w:cs="仿宋_GB2312"/>
          <w:color w:val="auto"/>
          <w:sz w:val="32"/>
          <w:szCs w:val="32"/>
          <w:lang w:val="en-US" w:eastAsia="zh-CN"/>
        </w:rPr>
        <w:t>803.22</w:t>
      </w:r>
      <w:r>
        <w:rPr>
          <w:rFonts w:hint="eastAsia" w:ascii="仿宋_GB2312" w:eastAsia="仿宋_GB2312" w:cs="DengXian-Regular"/>
          <w:color w:val="auto"/>
          <w:sz w:val="32"/>
          <w:szCs w:val="32"/>
        </w:rPr>
        <w:t>万元，减少</w:t>
      </w:r>
      <w:r>
        <w:rPr>
          <w:rFonts w:hint="eastAsia" w:ascii="仿宋_GB2312" w:hAnsi="仿宋_GB2312" w:eastAsia="仿宋_GB2312" w:cs="仿宋_GB2312"/>
          <w:color w:val="auto"/>
          <w:sz w:val="32"/>
          <w:szCs w:val="32"/>
          <w:lang w:val="en-US" w:eastAsia="zh-CN"/>
        </w:rPr>
        <w:t>1155.47</w:t>
      </w:r>
      <w:r>
        <w:rPr>
          <w:rFonts w:hint="eastAsia" w:ascii="仿宋_GB2312" w:eastAsia="仿宋_GB2312" w:cs="DengXian-Regular"/>
          <w:color w:val="auto"/>
          <w:sz w:val="32"/>
          <w:szCs w:val="32"/>
        </w:rPr>
        <w:t>万元，降低</w:t>
      </w:r>
      <w:r>
        <w:rPr>
          <w:rFonts w:hint="eastAsia" w:ascii="仿宋_GB2312" w:hAnsi="仿宋_GB2312" w:eastAsia="仿宋_GB2312" w:cs="仿宋_GB2312"/>
          <w:color w:val="auto"/>
          <w:sz w:val="32"/>
          <w:szCs w:val="32"/>
          <w:lang w:val="en-US" w:eastAsia="zh-CN"/>
        </w:rPr>
        <w:t>58.6</w:t>
      </w:r>
      <w:r>
        <w:rPr>
          <w:rFonts w:hint="eastAsia" w:ascii="仿宋_GB2312" w:eastAsia="仿宋_GB2312" w:cs="DengXian-Regular"/>
          <w:color w:val="auto"/>
          <w:sz w:val="32"/>
          <w:szCs w:val="32"/>
        </w:rPr>
        <w:t>%，主要是</w:t>
      </w:r>
      <w:r>
        <w:rPr>
          <w:rFonts w:hint="eastAsia" w:ascii="仿宋_GB2312" w:hAnsi="仿宋_GB2312" w:eastAsia="仿宋_GB2312" w:cs="仿宋_GB2312"/>
          <w:color w:val="auto"/>
          <w:sz w:val="32"/>
          <w:szCs w:val="32"/>
          <w:lang w:val="en-US" w:eastAsia="zh-CN"/>
        </w:rPr>
        <w:t>2018年支出为2017年项目资金，2017年项目资金规模较以前年度要小</w:t>
      </w:r>
      <w:r>
        <w:rPr>
          <w:rFonts w:hint="eastAsia" w:ascii="仿宋_GB2312" w:eastAsia="仿宋_GB2312" w:cs="DengXian-Regular"/>
          <w:color w:val="auto"/>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8874"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869.82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869.82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1958.69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1958.69</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3153.96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3153.96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262.60%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-58.6%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Times New Roman" w:eastAsia="仿宋_GB2312" w:cs="DengXian-Regular"/>
          <w:sz w:val="32"/>
          <w:szCs w:val="32"/>
        </w:rPr>
      </w:pPr>
      <w:r>
        <w:rPr>
          <w:rFonts w:hint="eastAsia" w:ascii="仿宋_GB2312" w:eastAsia="仿宋_GB2312" w:cs="DengXian-Regular"/>
          <w:sz w:val="32"/>
          <w:szCs w:val="32"/>
        </w:rPr>
        <w:t>本部门2018年度一般公共预</w:t>
      </w:r>
      <w:r>
        <w:rPr>
          <w:rFonts w:hint="eastAsia" w:ascii="仿宋_GB2312" w:hAnsi="Times New Roman" w:eastAsia="仿宋_GB2312" w:cs="DengXian-Regular"/>
          <w:sz w:val="32"/>
          <w:szCs w:val="32"/>
        </w:rPr>
        <w:t>算财政拨款收入</w:t>
      </w:r>
      <w:r>
        <w:rPr>
          <w:rFonts w:hint="eastAsia" w:ascii="仿宋_GB2312" w:hAnsi="Times New Roman" w:eastAsia="仿宋_GB2312" w:cs="DengXian-Regular"/>
          <w:sz w:val="32"/>
          <w:szCs w:val="32"/>
          <w:lang w:val="en-US" w:eastAsia="zh-CN"/>
        </w:rPr>
        <w:t>3153.96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774.91</w:t>
      </w:r>
      <w:r>
        <w:rPr>
          <w:rFonts w:hint="eastAsia" w:ascii="仿宋_GB2312" w:hAnsi="Times New Roman" w:eastAsia="仿宋_GB2312" w:cs="DengXian-Regular"/>
          <w:sz w:val="32"/>
          <w:szCs w:val="32"/>
        </w:rPr>
        <w:t>万元，决算数大于预算数主要是</w:t>
      </w:r>
      <w:r>
        <w:rPr>
          <w:rFonts w:hint="eastAsia" w:ascii="仿宋_GB2312" w:hAnsi="Times New Roman" w:eastAsia="仿宋_GB2312" w:cs="DengXian-Regular"/>
          <w:sz w:val="32"/>
          <w:szCs w:val="32"/>
          <w:lang w:val="en-US" w:eastAsia="zh-CN"/>
        </w:rPr>
        <w:t>2018年下半年对我市</w:t>
      </w:r>
      <w:r>
        <w:rPr>
          <w:rFonts w:hint="eastAsia" w:ascii="仿宋_GB2312" w:hAnsi="Times New Roman" w:eastAsia="仿宋_GB2312" w:cs="DengXian-Regular"/>
          <w:sz w:val="32"/>
          <w:szCs w:val="32"/>
          <w:lang w:eastAsia="zh-CN"/>
        </w:rPr>
        <w:t>农业综合开发项目增加了投资</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803.22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33.7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1575.83</w:t>
      </w:r>
      <w:r>
        <w:rPr>
          <w:rFonts w:hint="eastAsia" w:ascii="仿宋_GB2312" w:hAnsi="Times New Roman" w:eastAsia="仿宋_GB2312" w:cs="DengXian-Regular"/>
          <w:sz w:val="32"/>
          <w:szCs w:val="32"/>
        </w:rPr>
        <w:t>万元，决算数小于预算数主要是</w:t>
      </w:r>
      <w:r>
        <w:rPr>
          <w:rFonts w:hint="eastAsia" w:ascii="仿宋_GB2312" w:hAnsi="Times New Roman" w:eastAsia="仿宋_GB2312" w:cs="DengXian-Regular"/>
          <w:sz w:val="32"/>
          <w:szCs w:val="32"/>
          <w:lang w:eastAsia="zh-CN"/>
        </w:rPr>
        <w:t>农业综合开发项目为跨年度项目，大部分资金在第二年度支出</w:t>
      </w:r>
      <w:r>
        <w:rPr>
          <w:rFonts w:hint="eastAsia" w:ascii="仿宋_GB2312" w:hAnsi="Times New Roman"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9045"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3076.05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3076.05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2379.05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2379.05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3153.96</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3153.96</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highlight w:val="none"/>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highlight w:val="none"/>
          <w:lang w:val="en-US" w:eastAsia="zh-CN"/>
        </w:rPr>
        <w:t>803.22</w:t>
      </w:r>
      <w:r>
        <w:rPr>
          <w:rFonts w:hint="eastAsia" w:ascii="仿宋_GB2312" w:eastAsia="仿宋_GB2312" w:cs="DengXian-Regular"/>
          <w:sz w:val="32"/>
          <w:szCs w:val="32"/>
        </w:rPr>
        <w:t>万元，主要用于以</w:t>
      </w:r>
      <w:r>
        <w:rPr>
          <w:rFonts w:hint="eastAsia" w:ascii="仿宋_GB2312" w:eastAsia="仿宋_GB2312" w:cs="DengXian-Regular"/>
          <w:sz w:val="32"/>
          <w:szCs w:val="32"/>
          <w:highlight w:val="none"/>
        </w:rPr>
        <w:t>下方面：</w:t>
      </w:r>
      <w:r>
        <w:rPr>
          <w:rFonts w:hint="eastAsia" w:ascii="仿宋_GB2312" w:eastAsia="仿宋_GB2312" w:cs="DengXian-Regular"/>
          <w:sz w:val="32"/>
          <w:szCs w:val="32"/>
          <w:highlight w:val="none"/>
          <w:lang w:eastAsia="zh-CN"/>
        </w:rPr>
        <w:t>农业综合开发</w:t>
      </w:r>
      <w:r>
        <w:rPr>
          <w:rFonts w:hint="eastAsia" w:ascii="仿宋_GB2312" w:eastAsia="仿宋_GB2312" w:cs="DengXian-Regular"/>
          <w:sz w:val="32"/>
          <w:szCs w:val="32"/>
          <w:highlight w:val="none"/>
        </w:rPr>
        <w:t>支出</w:t>
      </w:r>
      <w:r>
        <w:rPr>
          <w:rFonts w:hint="eastAsia" w:ascii="仿宋_GB2312" w:eastAsia="仿宋_GB2312" w:cs="DengXian-Regular"/>
          <w:sz w:val="32"/>
          <w:szCs w:val="32"/>
          <w:highlight w:val="none"/>
          <w:lang w:val="en-US" w:eastAsia="zh-CN"/>
        </w:rPr>
        <w:t>803.22</w:t>
      </w:r>
      <w:r>
        <w:rPr>
          <w:rFonts w:hint="eastAsia" w:ascii="仿宋_GB2312" w:eastAsia="仿宋_GB2312" w:cs="DengXian-Regular"/>
          <w:sz w:val="32"/>
          <w:szCs w:val="32"/>
          <w:highlight w:val="none"/>
        </w:rPr>
        <w:t>万元，占</w:t>
      </w:r>
      <w:r>
        <w:rPr>
          <w:rFonts w:hint="eastAsia" w:ascii="仿宋_GB2312" w:eastAsia="仿宋_GB2312" w:cs="DengXian-Regular"/>
          <w:sz w:val="32"/>
          <w:szCs w:val="32"/>
          <w:highlight w:val="none"/>
          <w:lang w:val="en-US" w:eastAsia="zh-CN"/>
        </w:rPr>
        <w:t>100</w:t>
      </w:r>
      <w:r>
        <w:rPr>
          <w:rFonts w:hint="eastAsia" w:ascii="仿宋_GB2312" w:eastAsia="仿宋_GB2312" w:cs="DengXian-Regular"/>
          <w:sz w:val="32"/>
          <w:szCs w:val="32"/>
          <w:highlight w:val="none"/>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1"/>
        <w:gridCol w:w="1924"/>
        <w:gridCol w:w="1306"/>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农业综合开发</w:t>
            </w:r>
            <w:r>
              <w:rPr>
                <w:rFonts w:hint="eastAsia" w:ascii="宋体" w:hAnsi="宋体" w:eastAsia="宋体" w:cs="宋体"/>
                <w:i w:val="0"/>
                <w:color w:val="000000"/>
                <w:kern w:val="0"/>
                <w:sz w:val="20"/>
                <w:szCs w:val="20"/>
                <w:u w:val="none"/>
                <w:lang w:val="en-US" w:eastAsia="zh-CN" w:bidi="ar"/>
              </w:rPr>
              <w:t>支出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803.22</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ind w:left="420" w:leftChars="200"/>
        <w:rPr>
          <w:rFonts w:hint="eastAsia" w:ascii="仿宋_GB2312" w:eastAsia="仿宋_GB2312" w:cs="DengXian-Regular"/>
          <w:sz w:val="32"/>
          <w:szCs w:val="32"/>
          <w:highlight w:val="yellow"/>
          <w:lang w:eastAsia="zh-CN"/>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color w:val="auto"/>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w:t>
      </w:r>
      <w:r>
        <w:rPr>
          <w:rFonts w:eastAsia="仿宋_GB2312"/>
          <w:color w:val="auto"/>
          <w:sz w:val="32"/>
          <w:szCs w:val="32"/>
        </w:rPr>
        <w:t>度一般公共预算财政拨款“三公”经费支出共计</w:t>
      </w:r>
      <w:r>
        <w:rPr>
          <w:rFonts w:hint="eastAsia" w:eastAsia="仿宋_GB2312"/>
          <w:color w:val="auto"/>
          <w:sz w:val="32"/>
          <w:szCs w:val="32"/>
          <w:lang w:val="en-US" w:eastAsia="zh-CN"/>
        </w:rPr>
        <w:t>0</w:t>
      </w:r>
      <w:r>
        <w:rPr>
          <w:rFonts w:eastAsia="仿宋_GB2312"/>
          <w:color w:val="auto"/>
          <w:sz w:val="32"/>
          <w:szCs w:val="32"/>
        </w:rPr>
        <w:t>万元，</w:t>
      </w:r>
      <w:r>
        <w:rPr>
          <w:rFonts w:hint="eastAsia" w:eastAsia="仿宋_GB2312"/>
          <w:color w:val="auto"/>
          <w:sz w:val="32"/>
          <w:szCs w:val="32"/>
        </w:rPr>
        <w:t>比</w:t>
      </w:r>
      <w:r>
        <w:rPr>
          <w:rFonts w:eastAsia="仿宋_GB2312"/>
          <w:color w:val="auto"/>
          <w:sz w:val="32"/>
          <w:szCs w:val="32"/>
        </w:rPr>
        <w:t>年初预算减少</w:t>
      </w:r>
      <w:r>
        <w:rPr>
          <w:rFonts w:hint="eastAsia" w:ascii="仿宋_GB2312" w:hAnsi="仿宋_GB2312" w:eastAsia="仿宋_GB2312"/>
          <w:color w:val="auto"/>
          <w:sz w:val="32"/>
          <w:highlight w:val="none"/>
          <w:lang w:val="en-US" w:eastAsia="zh-CN"/>
        </w:rPr>
        <w:t>0.23</w:t>
      </w:r>
      <w:r>
        <w:rPr>
          <w:rFonts w:eastAsia="仿宋_GB2312"/>
          <w:color w:val="auto"/>
          <w:sz w:val="32"/>
          <w:szCs w:val="32"/>
        </w:rPr>
        <w:t>万元，降低</w:t>
      </w:r>
      <w:r>
        <w:rPr>
          <w:rFonts w:hint="eastAsia" w:eastAsia="仿宋_GB2312"/>
          <w:color w:val="auto"/>
          <w:sz w:val="32"/>
          <w:szCs w:val="32"/>
          <w:lang w:val="en-US" w:eastAsia="zh-CN"/>
        </w:rPr>
        <w:t>100</w:t>
      </w:r>
      <w:r>
        <w:rPr>
          <w:rFonts w:eastAsia="仿宋_GB2312"/>
          <w:color w:val="auto"/>
          <w:sz w:val="32"/>
          <w:szCs w:val="32"/>
        </w:rPr>
        <w:t>%，主要是</w:t>
      </w:r>
      <w:r>
        <w:rPr>
          <w:rFonts w:hint="eastAsia" w:ascii="仿宋_GB2312" w:hAnsi="仿宋_GB2312" w:eastAsia="仿宋_GB2312"/>
          <w:color w:val="auto"/>
          <w:sz w:val="32"/>
          <w:highlight w:val="none"/>
        </w:rPr>
        <w:t>公车辆减少、</w:t>
      </w:r>
      <w:r>
        <w:rPr>
          <w:rFonts w:hint="eastAsia" w:ascii="仿宋_GB2312" w:hAnsi="仿宋_GB2312" w:eastAsia="仿宋_GB2312"/>
          <w:color w:val="auto"/>
          <w:sz w:val="32"/>
          <w:highlight w:val="none"/>
          <w:lang w:val="en-US" w:eastAsia="zh-CN"/>
        </w:rPr>
        <w:t>厉行节约、减少</w:t>
      </w:r>
      <w:r>
        <w:rPr>
          <w:rFonts w:hint="eastAsia" w:ascii="仿宋_GB2312" w:hAnsi="仿宋_GB2312" w:eastAsia="仿宋_GB2312"/>
          <w:color w:val="auto"/>
          <w:sz w:val="32"/>
          <w:highlight w:val="none"/>
        </w:rPr>
        <w:t>三公经费</w:t>
      </w:r>
      <w:r>
        <w:rPr>
          <w:rFonts w:hint="eastAsia" w:ascii="仿宋_GB2312" w:hAnsi="仿宋_GB2312" w:eastAsia="仿宋_GB2312"/>
          <w:color w:val="auto"/>
          <w:sz w:val="32"/>
          <w:highlight w:val="none"/>
          <w:lang w:val="en-US" w:eastAsia="zh-CN"/>
        </w:rPr>
        <w:t>支出</w:t>
      </w:r>
      <w:r>
        <w:rPr>
          <w:rFonts w:eastAsia="仿宋_GB2312"/>
          <w:color w:val="auto"/>
          <w:sz w:val="32"/>
          <w:szCs w:val="32"/>
        </w:rPr>
        <w:t>；</w:t>
      </w:r>
      <w:r>
        <w:rPr>
          <w:rFonts w:hint="eastAsia" w:eastAsia="仿宋_GB2312"/>
          <w:color w:val="auto"/>
          <w:sz w:val="32"/>
          <w:szCs w:val="32"/>
        </w:rPr>
        <w:t>比</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年度决算减少</w:t>
      </w:r>
      <w:r>
        <w:rPr>
          <w:rFonts w:hint="eastAsia" w:ascii="仿宋_GB2312" w:hAnsi="仿宋_GB2312" w:eastAsia="仿宋_GB2312"/>
          <w:color w:val="auto"/>
          <w:sz w:val="32"/>
          <w:highlight w:val="none"/>
          <w:lang w:val="en-US" w:eastAsia="zh-CN"/>
        </w:rPr>
        <w:t>3.69</w:t>
      </w:r>
      <w:r>
        <w:rPr>
          <w:rFonts w:eastAsia="仿宋_GB2312"/>
          <w:color w:val="auto"/>
          <w:sz w:val="32"/>
          <w:szCs w:val="32"/>
        </w:rPr>
        <w:t>万元，降低</w:t>
      </w:r>
      <w:r>
        <w:rPr>
          <w:rFonts w:hint="eastAsia" w:eastAsia="仿宋_GB2312"/>
          <w:color w:val="auto"/>
          <w:sz w:val="32"/>
          <w:szCs w:val="32"/>
          <w:lang w:val="en-US" w:eastAsia="zh-CN"/>
        </w:rPr>
        <w:t>100</w:t>
      </w:r>
      <w:r>
        <w:rPr>
          <w:rFonts w:eastAsia="仿宋_GB2312"/>
          <w:color w:val="auto"/>
          <w:sz w:val="32"/>
          <w:szCs w:val="32"/>
        </w:rPr>
        <w:t>%，主要是</w:t>
      </w:r>
      <w:r>
        <w:rPr>
          <w:rFonts w:hint="eastAsia" w:ascii="仿宋_GB2312" w:hAnsi="仿宋_GB2312" w:eastAsia="仿宋_GB2312"/>
          <w:color w:val="auto"/>
          <w:sz w:val="32"/>
          <w:highlight w:val="none"/>
        </w:rPr>
        <w:t>公车辆减少、</w:t>
      </w:r>
      <w:r>
        <w:rPr>
          <w:rFonts w:hint="eastAsia" w:ascii="仿宋_GB2312" w:hAnsi="仿宋_GB2312" w:eastAsia="仿宋_GB2312"/>
          <w:color w:val="auto"/>
          <w:sz w:val="32"/>
          <w:highlight w:val="none"/>
          <w:lang w:val="en-US" w:eastAsia="zh-CN"/>
        </w:rPr>
        <w:t>厉行节约、减少</w:t>
      </w:r>
      <w:r>
        <w:rPr>
          <w:rFonts w:hint="eastAsia" w:ascii="仿宋_GB2312" w:hAnsi="仿宋_GB2312" w:eastAsia="仿宋_GB2312"/>
          <w:color w:val="auto"/>
          <w:sz w:val="32"/>
          <w:highlight w:val="none"/>
        </w:rPr>
        <w:t>三公经费</w:t>
      </w:r>
      <w:r>
        <w:rPr>
          <w:rFonts w:hint="eastAsia" w:ascii="仿宋_GB2312" w:hAnsi="仿宋_GB2312" w:eastAsia="仿宋_GB2312"/>
          <w:color w:val="auto"/>
          <w:sz w:val="32"/>
          <w:highlight w:val="none"/>
          <w:lang w:val="en-US" w:eastAsia="zh-CN"/>
        </w:rPr>
        <w:t>支出</w:t>
      </w:r>
      <w:r>
        <w:rPr>
          <w:rFonts w:eastAsia="仿宋_GB2312"/>
          <w:color w:val="auto"/>
          <w:sz w:val="32"/>
          <w:szCs w:val="32"/>
        </w:rPr>
        <w:t>。具体情况如下：</w:t>
      </w:r>
    </w:p>
    <w:p>
      <w:pPr>
        <w:adjustRightInd w:val="0"/>
        <w:snapToGrid w:val="0"/>
        <w:spacing w:line="584" w:lineRule="exact"/>
        <w:ind w:firstLine="643" w:firstLineChars="200"/>
        <w:rPr>
          <w:rFonts w:eastAsia="仿宋_GB2312"/>
          <w:sz w:val="32"/>
          <w:szCs w:val="32"/>
          <w:highlight w:val="none"/>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个、共</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人/参加其他单位组织的因公出国（境）团组</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个、共</w:t>
      </w:r>
      <w:r>
        <w:rPr>
          <w:rFonts w:hint="eastAsia" w:ascii="仿宋_GB2312" w:eastAsia="仿宋_GB2312" w:cs="DengXian-Regular"/>
          <w:sz w:val="32"/>
          <w:szCs w:val="32"/>
          <w:highlight w:val="none"/>
          <w:lang w:val="en-US" w:eastAsia="zh-CN"/>
        </w:rPr>
        <w:t>0</w:t>
      </w:r>
      <w:r>
        <w:rPr>
          <w:rFonts w:hint="eastAsia" w:ascii="仿宋_GB2312" w:eastAsia="仿宋_GB2312" w:cs="DengXian-Regular"/>
          <w:sz w:val="32"/>
          <w:szCs w:val="32"/>
          <w:highlight w:val="none"/>
        </w:rPr>
        <w:t>人/无本单位组织的出国（境）团组。</w:t>
      </w:r>
      <w:r>
        <w:rPr>
          <w:rFonts w:eastAsia="仿宋_GB2312"/>
          <w:sz w:val="32"/>
          <w:szCs w:val="32"/>
          <w:highlight w:val="none"/>
        </w:rPr>
        <w:t>因公出国（境）费支出</w:t>
      </w:r>
      <w:r>
        <w:rPr>
          <w:rFonts w:hint="eastAsia" w:eastAsia="仿宋_GB2312"/>
          <w:sz w:val="32"/>
          <w:szCs w:val="32"/>
          <w:highlight w:val="none"/>
        </w:rPr>
        <w:t>比</w:t>
      </w:r>
      <w:r>
        <w:rPr>
          <w:rFonts w:eastAsia="仿宋_GB2312"/>
          <w:sz w:val="32"/>
          <w:szCs w:val="32"/>
          <w:highlight w:val="none"/>
        </w:rPr>
        <w:t>年初预算增加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p>
    <w:p>
      <w:pPr>
        <w:adjustRightInd w:val="0"/>
        <w:snapToGrid w:val="0"/>
        <w:spacing w:line="584" w:lineRule="exact"/>
        <w:ind w:firstLine="643" w:firstLineChars="200"/>
        <w:rPr>
          <w:rFonts w:eastAsia="仿宋_GB2312"/>
          <w:b/>
          <w:bCs/>
          <w:sz w:val="32"/>
          <w:szCs w:val="32"/>
          <w:highlight w:val="none"/>
        </w:rPr>
      </w:pPr>
      <w:r>
        <w:rPr>
          <w:rFonts w:eastAsia="楷体_GB2312"/>
          <w:b/>
          <w:bCs/>
          <w:sz w:val="32"/>
          <w:szCs w:val="32"/>
          <w:highlight w:val="none"/>
        </w:rPr>
        <w:t>（二）公务用车购置及运行维护费支出</w:t>
      </w:r>
      <w:r>
        <w:rPr>
          <w:rFonts w:hint="eastAsia" w:eastAsia="楷体_GB2312"/>
          <w:b/>
          <w:bCs/>
          <w:sz w:val="32"/>
          <w:szCs w:val="32"/>
          <w:highlight w:val="none"/>
          <w:lang w:val="en-US" w:eastAsia="zh-CN"/>
        </w:rPr>
        <w:t>0</w:t>
      </w:r>
      <w:bookmarkStart w:id="0" w:name="_GoBack"/>
      <w:bookmarkEnd w:id="0"/>
      <w:r>
        <w:rPr>
          <w:rFonts w:eastAsia="楷体_GB2312"/>
          <w:b/>
          <w:bCs/>
          <w:sz w:val="32"/>
          <w:szCs w:val="32"/>
          <w:highlight w:val="none"/>
        </w:rPr>
        <w:t>万元。</w:t>
      </w:r>
      <w:r>
        <w:rPr>
          <w:rFonts w:hint="eastAsia" w:ascii="仿宋_GB2312" w:eastAsia="仿宋_GB2312" w:cs="DengXian-Regular"/>
          <w:sz w:val="32"/>
          <w:szCs w:val="32"/>
          <w:highlight w:val="none"/>
        </w:rPr>
        <w:t>本部门2018年度公务用车购置及运行维护费比年初预算</w:t>
      </w:r>
      <w:r>
        <w:rPr>
          <w:rFonts w:eastAsia="仿宋_GB2312"/>
          <w:sz w:val="32"/>
          <w:szCs w:val="32"/>
          <w:highlight w:val="none"/>
        </w:rPr>
        <w:t>增加</w:t>
      </w:r>
      <w:r>
        <w:rPr>
          <w:rFonts w:hint="eastAsia" w:eastAsia="仿宋_GB2312"/>
          <w:sz w:val="32"/>
          <w:szCs w:val="32"/>
          <w:highlight w:val="none"/>
          <w:lang w:val="en-US" w:eastAsia="zh-CN"/>
        </w:rPr>
        <w:t>0</w:t>
      </w:r>
      <w:r>
        <w:rPr>
          <w:rFonts w:eastAsia="仿宋_GB2312"/>
          <w:sz w:val="32"/>
          <w:szCs w:val="32"/>
          <w:highlight w:val="none"/>
        </w:rPr>
        <w:t>万元</w:t>
      </w:r>
      <w:r>
        <w:rPr>
          <w:rFonts w:hint="eastAsia" w:ascii="仿宋_GB2312" w:eastAsia="仿宋_GB2312" w:cs="DengXian-Regular"/>
          <w:sz w:val="32"/>
          <w:szCs w:val="32"/>
          <w:highlight w:val="none"/>
        </w:rPr>
        <w:t>，</w:t>
      </w:r>
      <w:r>
        <w:rPr>
          <w:rFonts w:eastAsia="仿宋_GB2312"/>
          <w:sz w:val="32"/>
          <w:szCs w:val="32"/>
          <w:highlight w:val="none"/>
        </w:rPr>
        <w:t>增长</w:t>
      </w:r>
      <w:r>
        <w:rPr>
          <w:rFonts w:hint="eastAsia" w:eastAsia="仿宋_GB2312"/>
          <w:sz w:val="32"/>
          <w:szCs w:val="32"/>
          <w:highlight w:val="none"/>
          <w:lang w:val="en-US" w:eastAsia="zh-CN"/>
        </w:rPr>
        <w:t>0</w:t>
      </w:r>
      <w:r>
        <w:rPr>
          <w:rFonts w:eastAsia="仿宋_GB2312"/>
          <w:sz w:val="32"/>
          <w:szCs w:val="32"/>
          <w:highlight w:val="none"/>
        </w:rPr>
        <w:t>%</w:t>
      </w:r>
      <w:r>
        <w:rPr>
          <w:rFonts w:hint="eastAsia" w:ascii="仿宋_GB2312" w:eastAsia="仿宋_GB2312" w:cs="DengXian-Regular"/>
          <w:sz w:val="32"/>
          <w:szCs w:val="32"/>
          <w:highlight w:val="none"/>
        </w:rPr>
        <w:t>,主要是</w:t>
      </w:r>
      <w:r>
        <w:rPr>
          <w:rFonts w:hint="eastAsia" w:ascii="仿宋_GB2312" w:eastAsia="仿宋_GB2312" w:cs="DengXian-Regular"/>
          <w:sz w:val="32"/>
          <w:szCs w:val="32"/>
          <w:highlight w:val="none"/>
          <w:lang w:eastAsia="zh-CN"/>
        </w:rPr>
        <w:t>公车预算取消</w:t>
      </w:r>
      <w:r>
        <w:rPr>
          <w:rFonts w:hint="eastAsia" w:ascii="仿宋_GB2312" w:eastAsia="仿宋_GB2312" w:cs="DengXian-Regular"/>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lang w:val="en-US" w:eastAsia="zh-CN"/>
        </w:rPr>
        <w:t>3.5</w:t>
      </w:r>
      <w:r>
        <w:rPr>
          <w:rFonts w:eastAsia="仿宋_GB2312"/>
          <w:sz w:val="32"/>
          <w:szCs w:val="32"/>
          <w:highlight w:val="none"/>
        </w:rPr>
        <w:t>万元，降低</w:t>
      </w:r>
      <w:r>
        <w:rPr>
          <w:rFonts w:hint="eastAsia" w:eastAsia="仿宋_GB2312"/>
          <w:sz w:val="32"/>
          <w:szCs w:val="32"/>
          <w:highlight w:val="none"/>
          <w:lang w:val="en-US" w:eastAsia="zh-CN"/>
        </w:rPr>
        <w:t>100</w:t>
      </w:r>
      <w:r>
        <w:rPr>
          <w:rFonts w:eastAsia="仿宋_GB2312"/>
          <w:sz w:val="32"/>
          <w:szCs w:val="32"/>
          <w:highlight w:val="none"/>
        </w:rPr>
        <w:t>%，主要是</w:t>
      </w:r>
      <w:r>
        <w:rPr>
          <w:rFonts w:hint="eastAsia" w:eastAsia="仿宋_GB2312"/>
          <w:sz w:val="32"/>
          <w:szCs w:val="32"/>
          <w:highlight w:val="none"/>
          <w:lang w:eastAsia="zh-CN"/>
        </w:rPr>
        <w:t>公车预算取消</w:t>
      </w:r>
      <w:r>
        <w:rPr>
          <w:rFonts w:eastAsia="仿宋_GB2312"/>
          <w:sz w:val="32"/>
          <w:szCs w:val="32"/>
          <w:highlight w:val="none"/>
        </w:rPr>
        <w:t>。</w:t>
      </w:r>
      <w:r>
        <w:rPr>
          <w:rFonts w:eastAsia="仿宋_GB2312"/>
          <w:b/>
          <w:bCs/>
          <w:sz w:val="32"/>
          <w:szCs w:val="32"/>
          <w:highlight w:val="none"/>
        </w:rPr>
        <w:t>其中：</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highlight w:val="none"/>
        </w:rPr>
        <w:t>公务用车购置费支出</w:t>
      </w:r>
      <w:r>
        <w:rPr>
          <w:rFonts w:hint="eastAsia" w:eastAsia="仿宋_GB2312"/>
          <w:b/>
          <w:sz w:val="32"/>
          <w:szCs w:val="32"/>
          <w:highlight w:val="none"/>
          <w:lang w:val="en-US" w:eastAsia="zh-CN"/>
        </w:rPr>
        <w:t>0</w:t>
      </w:r>
      <w:r>
        <w:rPr>
          <w:rFonts w:eastAsia="仿宋_GB2312"/>
          <w:b/>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年度公务用车购置数量</w:t>
      </w:r>
      <w:r>
        <w:rPr>
          <w:rFonts w:hint="eastAsia" w:eastAsia="仿宋_GB2312"/>
          <w:sz w:val="32"/>
          <w:szCs w:val="32"/>
          <w:highlight w:val="none"/>
          <w:lang w:val="en-US" w:eastAsia="zh-CN"/>
        </w:rPr>
        <w:t>0</w:t>
      </w:r>
      <w:r>
        <w:rPr>
          <w:rFonts w:eastAsia="仿宋_GB2312"/>
          <w:sz w:val="32"/>
          <w:szCs w:val="32"/>
          <w:highlight w:val="none"/>
        </w:rPr>
        <w:t>辆。公务用车购置费支出</w:t>
      </w:r>
      <w:r>
        <w:rPr>
          <w:rFonts w:hint="eastAsia" w:eastAsia="仿宋_GB2312"/>
          <w:sz w:val="32"/>
          <w:szCs w:val="32"/>
          <w:highlight w:val="none"/>
        </w:rPr>
        <w:t>比</w:t>
      </w:r>
      <w:r>
        <w:rPr>
          <w:rFonts w:eastAsia="仿宋_GB2312"/>
          <w:sz w:val="32"/>
          <w:szCs w:val="32"/>
          <w:highlight w:val="none"/>
        </w:rPr>
        <w:t>年初预算增加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p>
    <w:p>
      <w:pPr>
        <w:adjustRightInd w:val="0"/>
        <w:snapToGrid w:val="0"/>
        <w:spacing w:line="584" w:lineRule="exact"/>
        <w:ind w:firstLine="643" w:firstLineChars="200"/>
        <w:rPr>
          <w:rFonts w:eastAsia="仿宋_GB2312"/>
          <w:sz w:val="32"/>
          <w:szCs w:val="32"/>
          <w:highlight w:val="none"/>
        </w:rPr>
      </w:pPr>
      <w:r>
        <w:rPr>
          <w:rFonts w:eastAsia="仿宋_GB2312"/>
          <w:b/>
          <w:sz w:val="32"/>
          <w:szCs w:val="32"/>
          <w:highlight w:val="none"/>
        </w:rPr>
        <w:t>公务用车运行维护费支出</w:t>
      </w:r>
      <w:r>
        <w:rPr>
          <w:rFonts w:hint="eastAsia" w:eastAsia="仿宋_GB2312"/>
          <w:b/>
          <w:sz w:val="32"/>
          <w:szCs w:val="32"/>
          <w:highlight w:val="none"/>
          <w:lang w:val="en-US" w:eastAsia="zh-CN"/>
        </w:rPr>
        <w:t>0</w:t>
      </w:r>
      <w:r>
        <w:rPr>
          <w:rFonts w:eastAsia="仿宋_GB2312"/>
          <w:b/>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年末单位公务用车保有量</w:t>
      </w:r>
      <w:r>
        <w:rPr>
          <w:rFonts w:hint="eastAsia" w:eastAsia="仿宋_GB2312"/>
          <w:sz w:val="32"/>
          <w:szCs w:val="32"/>
          <w:highlight w:val="none"/>
          <w:lang w:val="en-US" w:eastAsia="zh-CN"/>
        </w:rPr>
        <w:t>1</w:t>
      </w:r>
      <w:r>
        <w:rPr>
          <w:rFonts w:eastAsia="仿宋_GB2312"/>
          <w:sz w:val="32"/>
          <w:szCs w:val="32"/>
          <w:highlight w:val="none"/>
        </w:rPr>
        <w:t>辆。公车运行维护费支出</w:t>
      </w:r>
      <w:r>
        <w:rPr>
          <w:rFonts w:hint="eastAsia" w:eastAsia="仿宋_GB2312"/>
          <w:sz w:val="32"/>
          <w:szCs w:val="32"/>
          <w:highlight w:val="none"/>
        </w:rPr>
        <w:t>比</w:t>
      </w:r>
      <w:r>
        <w:rPr>
          <w:rFonts w:eastAsia="仿宋_GB2312"/>
          <w:sz w:val="32"/>
          <w:szCs w:val="32"/>
          <w:highlight w:val="none"/>
        </w:rPr>
        <w:t>年初预算增加</w:t>
      </w:r>
      <w:r>
        <w:rPr>
          <w:rFonts w:hint="eastAsia" w:eastAsia="仿宋_GB2312"/>
          <w:sz w:val="32"/>
          <w:szCs w:val="32"/>
          <w:highlight w:val="none"/>
          <w:lang w:val="en-US" w:eastAsia="zh-CN"/>
        </w:rPr>
        <w:t>0</w:t>
      </w:r>
      <w:r>
        <w:rPr>
          <w:rFonts w:eastAsia="仿宋_GB2312"/>
          <w:sz w:val="32"/>
          <w:szCs w:val="32"/>
          <w:highlight w:val="none"/>
        </w:rPr>
        <w:t>万元，增长</w:t>
      </w:r>
      <w:r>
        <w:rPr>
          <w:rFonts w:hint="eastAsia" w:eastAsia="仿宋_GB2312"/>
          <w:sz w:val="32"/>
          <w:szCs w:val="32"/>
          <w:highlight w:val="none"/>
          <w:lang w:val="en-US" w:eastAsia="zh-CN"/>
        </w:rPr>
        <w:t>0</w:t>
      </w:r>
      <w:r>
        <w:rPr>
          <w:rFonts w:eastAsia="仿宋_GB2312"/>
          <w:sz w:val="32"/>
          <w:szCs w:val="32"/>
          <w:highlight w:val="none"/>
        </w:rPr>
        <w:t>%，主要是</w:t>
      </w:r>
      <w:r>
        <w:rPr>
          <w:rFonts w:hint="eastAsia" w:eastAsia="仿宋_GB2312"/>
          <w:sz w:val="32"/>
          <w:szCs w:val="32"/>
          <w:highlight w:val="none"/>
          <w:lang w:eastAsia="zh-CN"/>
        </w:rPr>
        <w:t>公车预算取消</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lang w:val="en-US" w:eastAsia="zh-CN"/>
        </w:rPr>
        <w:t>3.5</w:t>
      </w:r>
      <w:r>
        <w:rPr>
          <w:rFonts w:eastAsia="仿宋_GB2312"/>
          <w:sz w:val="32"/>
          <w:szCs w:val="32"/>
          <w:highlight w:val="none"/>
        </w:rPr>
        <w:t>万元，降低</w:t>
      </w:r>
      <w:r>
        <w:rPr>
          <w:rFonts w:hint="eastAsia" w:eastAsia="仿宋_GB2312"/>
          <w:sz w:val="32"/>
          <w:szCs w:val="32"/>
          <w:highlight w:val="none"/>
          <w:lang w:val="en-US" w:eastAsia="zh-CN"/>
        </w:rPr>
        <w:t>100</w:t>
      </w:r>
      <w:r>
        <w:rPr>
          <w:rFonts w:eastAsia="仿宋_GB2312"/>
          <w:sz w:val="32"/>
          <w:szCs w:val="32"/>
          <w:highlight w:val="none"/>
        </w:rPr>
        <w:t>%，主要是</w:t>
      </w:r>
      <w:r>
        <w:rPr>
          <w:rFonts w:hint="eastAsia" w:eastAsia="仿宋_GB2312"/>
          <w:sz w:val="32"/>
          <w:szCs w:val="32"/>
          <w:highlight w:val="none"/>
          <w:lang w:eastAsia="zh-CN"/>
        </w:rPr>
        <w:t>公车预算取消</w:t>
      </w:r>
      <w:r>
        <w:rPr>
          <w:rFonts w:eastAsia="仿宋_GB2312"/>
          <w:sz w:val="32"/>
          <w:szCs w:val="32"/>
          <w:highlight w:val="none"/>
        </w:rPr>
        <w:t>。</w:t>
      </w:r>
    </w:p>
    <w:p>
      <w:pPr>
        <w:numPr>
          <w:ilvl w:val="0"/>
          <w:numId w:val="1"/>
        </w:numPr>
        <w:adjustRightInd w:val="0"/>
        <w:snapToGrid w:val="0"/>
        <w:spacing w:line="584" w:lineRule="exact"/>
        <w:ind w:left="420" w:leftChars="200" w:firstLine="0" w:firstLineChars="0"/>
        <w:rPr>
          <w:rFonts w:eastAsia="仿宋_GB2312"/>
          <w:sz w:val="32"/>
          <w:szCs w:val="32"/>
          <w:highlight w:val="none"/>
        </w:rPr>
      </w:pPr>
      <w:r>
        <w:rPr>
          <w:rFonts w:eastAsia="楷体_GB2312"/>
          <w:b/>
          <w:bCs/>
          <w:sz w:val="32"/>
          <w:szCs w:val="32"/>
          <w:highlight w:val="none"/>
        </w:rPr>
        <w:t>公务接待费支出</w:t>
      </w:r>
      <w:r>
        <w:rPr>
          <w:rFonts w:hint="eastAsia" w:eastAsia="楷体_GB2312"/>
          <w:b/>
          <w:bCs/>
          <w:sz w:val="32"/>
          <w:szCs w:val="32"/>
          <w:highlight w:val="none"/>
          <w:lang w:val="en-US" w:eastAsia="zh-CN"/>
        </w:rPr>
        <w:t>0</w:t>
      </w:r>
      <w:r>
        <w:rPr>
          <w:rFonts w:eastAsia="楷体_GB2312"/>
          <w:b/>
          <w:bCs/>
          <w:sz w:val="32"/>
          <w:szCs w:val="32"/>
          <w:highlight w:val="none"/>
        </w:rPr>
        <w:t>万元。</w:t>
      </w:r>
      <w:r>
        <w:rPr>
          <w:rFonts w:eastAsia="仿宋_GB2312"/>
          <w:sz w:val="32"/>
          <w:szCs w:val="32"/>
          <w:highlight w:val="none"/>
        </w:rPr>
        <w:t>本部门201</w:t>
      </w:r>
      <w:r>
        <w:rPr>
          <w:rFonts w:hint="eastAsia" w:eastAsia="仿宋_GB2312"/>
          <w:sz w:val="32"/>
          <w:szCs w:val="32"/>
          <w:highlight w:val="none"/>
        </w:rPr>
        <w:t>8</w:t>
      </w:r>
      <w:r>
        <w:rPr>
          <w:rFonts w:eastAsia="仿宋_GB2312"/>
          <w:sz w:val="32"/>
          <w:szCs w:val="32"/>
          <w:highlight w:val="none"/>
        </w:rPr>
        <w:t>年度公务接待共</w:t>
      </w:r>
      <w:r>
        <w:rPr>
          <w:rFonts w:hint="eastAsia" w:eastAsia="仿宋_GB2312"/>
          <w:sz w:val="32"/>
          <w:szCs w:val="32"/>
          <w:highlight w:val="none"/>
          <w:lang w:val="en-US" w:eastAsia="zh-CN"/>
        </w:rPr>
        <w:t>0</w:t>
      </w:r>
      <w:r>
        <w:rPr>
          <w:rFonts w:eastAsia="仿宋_GB2312"/>
          <w:sz w:val="32"/>
          <w:szCs w:val="32"/>
          <w:highlight w:val="none"/>
        </w:rPr>
        <w:t>批次、</w:t>
      </w:r>
      <w:r>
        <w:rPr>
          <w:rFonts w:hint="eastAsia" w:eastAsia="仿宋_GB2312"/>
          <w:sz w:val="32"/>
          <w:szCs w:val="32"/>
          <w:highlight w:val="none"/>
          <w:lang w:val="en-US" w:eastAsia="zh-CN"/>
        </w:rPr>
        <w:t>0</w:t>
      </w:r>
      <w:r>
        <w:rPr>
          <w:rFonts w:eastAsia="仿宋_GB2312"/>
          <w:sz w:val="32"/>
          <w:szCs w:val="32"/>
          <w:highlight w:val="none"/>
        </w:rPr>
        <w:t>人次。公务接待费支出</w:t>
      </w:r>
      <w:r>
        <w:rPr>
          <w:rFonts w:hint="eastAsia" w:eastAsia="仿宋_GB2312"/>
          <w:sz w:val="32"/>
          <w:szCs w:val="32"/>
          <w:highlight w:val="none"/>
        </w:rPr>
        <w:t>比</w:t>
      </w:r>
      <w:r>
        <w:rPr>
          <w:rFonts w:eastAsia="仿宋_GB2312"/>
          <w:sz w:val="32"/>
          <w:szCs w:val="32"/>
          <w:highlight w:val="none"/>
        </w:rPr>
        <w:t>年初预算减少</w:t>
      </w:r>
      <w:r>
        <w:rPr>
          <w:rFonts w:hint="eastAsia" w:eastAsia="仿宋_GB2312"/>
          <w:sz w:val="32"/>
          <w:szCs w:val="32"/>
          <w:highlight w:val="none"/>
          <w:lang w:val="en-US" w:eastAsia="zh-CN"/>
        </w:rPr>
        <w:t>0.23</w:t>
      </w:r>
      <w:r>
        <w:rPr>
          <w:rFonts w:eastAsia="仿宋_GB2312"/>
          <w:sz w:val="32"/>
          <w:szCs w:val="32"/>
          <w:highlight w:val="none"/>
        </w:rPr>
        <w:t>万元，降低</w:t>
      </w:r>
      <w:r>
        <w:rPr>
          <w:rFonts w:hint="eastAsia" w:eastAsia="仿宋_GB2312"/>
          <w:sz w:val="32"/>
          <w:szCs w:val="32"/>
          <w:highlight w:val="none"/>
          <w:lang w:val="en-US" w:eastAsia="zh-CN"/>
        </w:rPr>
        <w:t>100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年度决算减少</w:t>
      </w:r>
      <w:r>
        <w:rPr>
          <w:rFonts w:hint="eastAsia" w:eastAsia="仿宋_GB2312"/>
          <w:sz w:val="32"/>
          <w:szCs w:val="32"/>
          <w:highlight w:val="none"/>
          <w:lang w:val="en-US" w:eastAsia="zh-CN"/>
        </w:rPr>
        <w:t>0.2</w:t>
      </w:r>
      <w:r>
        <w:rPr>
          <w:rFonts w:eastAsia="仿宋_GB2312"/>
          <w:sz w:val="32"/>
          <w:szCs w:val="32"/>
          <w:highlight w:val="none"/>
        </w:rPr>
        <w:t>万元，降低</w:t>
      </w:r>
      <w:r>
        <w:rPr>
          <w:rFonts w:hint="eastAsia" w:eastAsia="仿宋_GB2312"/>
          <w:sz w:val="32"/>
          <w:szCs w:val="32"/>
          <w:highlight w:val="none"/>
          <w:lang w:val="en-US" w:eastAsia="zh-CN"/>
        </w:rPr>
        <w:t>100</w:t>
      </w:r>
      <w:r>
        <w:rPr>
          <w:rFonts w:eastAsia="仿宋_GB2312"/>
          <w:sz w:val="32"/>
          <w:szCs w:val="32"/>
          <w:highlight w:val="none"/>
        </w:rPr>
        <w:t>%，主要是</w:t>
      </w:r>
      <w:r>
        <w:rPr>
          <w:rFonts w:eastAsia="仿宋_GB2312"/>
          <w:color w:val="000000"/>
          <w:sz w:val="32"/>
          <w:szCs w:val="32"/>
          <w:highlight w:val="none"/>
        </w:rPr>
        <w:t>未发生此类支出</w:t>
      </w:r>
      <w:r>
        <w:rPr>
          <w:rFonts w:eastAsia="仿宋_GB2312"/>
          <w:sz w:val="32"/>
          <w:szCs w:val="32"/>
          <w:highlight w:val="none"/>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spacing w:line="580" w:lineRule="atLeast"/>
        <w:ind w:firstLine="640" w:firstLineChars="200"/>
        <w:rPr>
          <w:rFonts w:hint="eastAsia" w:ascii="仿宋" w:hAnsi="仿宋" w:eastAsia="仿宋"/>
          <w:sz w:val="32"/>
          <w:szCs w:val="32"/>
        </w:rPr>
      </w:pPr>
      <w:r>
        <w:rPr>
          <w:rFonts w:hint="eastAsia" w:ascii="仿宋_GB2312" w:eastAsia="仿宋_GB2312" w:cs="DengXian-Regular"/>
          <w:sz w:val="32"/>
          <w:szCs w:val="32"/>
        </w:rPr>
        <w:t>（一）预算绩效管理工作开展情况。</w:t>
      </w:r>
      <w:r>
        <w:rPr>
          <w:rFonts w:hint="eastAsia" w:ascii="仿宋_GB2312" w:hAnsi="仿宋" w:eastAsia="仿宋_GB2312"/>
          <w:sz w:val="32"/>
          <w:szCs w:val="32"/>
        </w:rPr>
        <w:t>我部门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认真贯彻落实财政部预算绩效管理工作要求，深化预算绩效管理工作，不断完善预算绩效管理制度，一是完善制度，筑牢预算绩效管理工作根基，明确预算绩效管理工作目标、重点任务、工作责任、保障措施，进一步推动财政支出绩效评价工作制度化规范化；二是夯实基础，建立健全绩效评价指标体系；三是稳步推进，认真实施部门整体支出绩效评价。</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rPr>
      </w:pPr>
      <w:r>
        <w:rPr>
          <w:rFonts w:hint="eastAsia" w:ascii="仿宋_GB2312" w:eastAsia="仿宋_GB2312" w:cs="DengXian-Regular"/>
          <w:sz w:val="32"/>
          <w:szCs w:val="32"/>
        </w:rPr>
        <w:t>（二）项目绩效自评结果。</w:t>
      </w:r>
      <w:r>
        <w:rPr>
          <w:rFonts w:hint="eastAsia" w:ascii="仿宋_GB2312" w:hAnsi="仿宋" w:eastAsia="仿宋_GB2312"/>
          <w:sz w:val="32"/>
          <w:szCs w:val="32"/>
        </w:rPr>
        <w:t>我部门</w:t>
      </w:r>
      <w:r>
        <w:rPr>
          <w:rFonts w:hint="eastAsia" w:ascii="仿宋_GB2312" w:hAnsi="仿宋" w:eastAsia="仿宋_GB2312"/>
          <w:sz w:val="32"/>
          <w:szCs w:val="32"/>
          <w:lang w:eastAsia="zh-CN"/>
        </w:rPr>
        <w:t>2018年</w:t>
      </w:r>
      <w:r>
        <w:rPr>
          <w:rFonts w:hint="eastAsia" w:ascii="仿宋_GB2312" w:hAnsi="仿宋" w:eastAsia="仿宋_GB2312"/>
          <w:sz w:val="32"/>
          <w:szCs w:val="32"/>
        </w:rPr>
        <w:t>度开展了项目绩效评价工作，由办公室牵头组织项目绩效考评工作，下达项目绩效考评通知，跟踪了解项目绩效考评工作实施情况，做好项目绩效考评经验总结及交流宣传工作，探索绩效考评结果公示及应用机制，做好相关股室、单位间的协调工作，最后形成预算绩效项目考评工作总结材料。</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按照市财政预算绩效管理要求，对</w:t>
      </w:r>
      <w:r>
        <w:rPr>
          <w:rFonts w:hint="eastAsia" w:ascii="仿宋_GB2312" w:hAnsi="仿宋" w:eastAsia="仿宋_GB2312"/>
          <w:sz w:val="32"/>
          <w:szCs w:val="32"/>
          <w:lang w:eastAsia="zh-CN"/>
        </w:rPr>
        <w:t>2018年我</w:t>
      </w:r>
      <w:r>
        <w:rPr>
          <w:rFonts w:hint="eastAsia" w:ascii="仿宋_GB2312" w:hAnsi="仿宋" w:eastAsia="仿宋_GB2312"/>
          <w:sz w:val="32"/>
          <w:szCs w:val="32"/>
        </w:rPr>
        <w:t>部门</w:t>
      </w:r>
      <w:r>
        <w:rPr>
          <w:rFonts w:hint="eastAsia" w:ascii="仿宋_GB2312" w:hAnsi="仿宋" w:eastAsia="仿宋_GB2312"/>
          <w:sz w:val="32"/>
          <w:szCs w:val="32"/>
          <w:lang w:eastAsia="zh-CN"/>
        </w:rPr>
        <w:t>绩效预算执行情况</w:t>
      </w:r>
      <w:r>
        <w:rPr>
          <w:rFonts w:hint="eastAsia" w:ascii="仿宋_GB2312" w:hAnsi="仿宋" w:eastAsia="仿宋_GB2312"/>
          <w:sz w:val="32"/>
          <w:szCs w:val="32"/>
        </w:rPr>
        <w:t>全面开展了自评</w:t>
      </w:r>
      <w:r>
        <w:rPr>
          <w:rFonts w:hint="eastAsia" w:ascii="仿宋_GB2312" w:hAnsi="仿宋" w:eastAsia="仿宋_GB2312"/>
          <w:sz w:val="32"/>
          <w:szCs w:val="32"/>
          <w:lang w:eastAsia="zh-CN"/>
        </w:rPr>
        <w:t>，我</w:t>
      </w:r>
      <w:r>
        <w:rPr>
          <w:rFonts w:hint="eastAsia" w:ascii="仿宋_GB2312" w:hAnsi="仿宋" w:eastAsia="仿宋_GB2312"/>
          <w:sz w:val="32"/>
          <w:szCs w:val="32"/>
        </w:rPr>
        <w:t>部门对</w:t>
      </w:r>
      <w:r>
        <w:rPr>
          <w:rFonts w:hint="eastAsia" w:ascii="仿宋_GB2312" w:hAnsi="仿宋" w:eastAsia="仿宋_GB2312"/>
          <w:sz w:val="32"/>
          <w:szCs w:val="32"/>
          <w:lang w:eastAsia="zh-CN"/>
        </w:rPr>
        <w:t>预算绩效</w:t>
      </w:r>
      <w:r>
        <w:rPr>
          <w:rFonts w:hint="eastAsia" w:ascii="仿宋_GB2312" w:hAnsi="仿宋" w:eastAsia="仿宋_GB2312"/>
          <w:sz w:val="32"/>
          <w:szCs w:val="32"/>
        </w:rPr>
        <w:t>评价结果进行认真分析，对管理中存在的问题，提出改进措施。</w:t>
      </w:r>
      <w:r>
        <w:rPr>
          <w:rFonts w:hint="eastAsia" w:ascii="仿宋_GB2312" w:hAnsi="仿宋" w:eastAsia="仿宋_GB2312" w:cs="仿宋"/>
          <w:sz w:val="32"/>
          <w:szCs w:val="32"/>
        </w:rPr>
        <w:t>被评价项目总体绩效目标明确，决策依据充分，资金分配科学合理，项目管理较规范，项目完成良好，基本达到了预期效果</w:t>
      </w:r>
      <w:r>
        <w:rPr>
          <w:rFonts w:hint="eastAsia" w:ascii="仿宋_GB2312" w:hAnsi="仿宋" w:eastAsia="仿宋_GB2312" w:cs="仿宋"/>
          <w:sz w:val="32"/>
          <w:szCs w:val="32"/>
          <w:lang w:eastAsia="zh-CN"/>
        </w:rPr>
        <w:t>，对绩效预算执行情况执行的较好。</w:t>
      </w:r>
      <w:r>
        <w:rPr>
          <w:rFonts w:hint="eastAsia" w:ascii="仿宋_GB2312" w:hAnsi="仿宋" w:eastAsia="仿宋_GB2312"/>
          <w:sz w:val="32"/>
          <w:szCs w:val="32"/>
          <w:lang w:eastAsia="zh-CN"/>
        </w:rPr>
        <w:t>预算绩效管理工作有效的</w:t>
      </w:r>
      <w:r>
        <w:rPr>
          <w:rFonts w:hint="eastAsia" w:ascii="仿宋_GB2312" w:hAnsi="仿宋" w:eastAsia="仿宋_GB2312"/>
          <w:sz w:val="32"/>
          <w:szCs w:val="32"/>
        </w:rPr>
        <w:t>减少了</w:t>
      </w:r>
      <w:r>
        <w:rPr>
          <w:rFonts w:hint="eastAsia" w:ascii="仿宋_GB2312" w:hAnsi="仿宋" w:eastAsia="仿宋_GB2312"/>
          <w:sz w:val="32"/>
          <w:szCs w:val="32"/>
          <w:lang w:eastAsia="zh-CN"/>
        </w:rPr>
        <w:t>我部门</w:t>
      </w:r>
      <w:r>
        <w:rPr>
          <w:rFonts w:hint="eastAsia" w:ascii="仿宋_GB2312" w:hAnsi="仿宋" w:eastAsia="仿宋_GB2312"/>
          <w:sz w:val="32"/>
          <w:szCs w:val="32"/>
        </w:rPr>
        <w:t>资金使用管理中的损失浪费现象，使资金达到</w:t>
      </w:r>
      <w:r>
        <w:rPr>
          <w:rFonts w:hint="eastAsia" w:ascii="仿宋_GB2312" w:hAnsi="仿宋" w:eastAsia="仿宋_GB2312"/>
          <w:sz w:val="32"/>
          <w:szCs w:val="32"/>
          <w:lang w:eastAsia="zh-CN"/>
        </w:rPr>
        <w:t>了</w:t>
      </w:r>
      <w:r>
        <w:rPr>
          <w:rFonts w:hint="eastAsia" w:ascii="仿宋_GB2312" w:hAnsi="仿宋" w:eastAsia="仿宋_GB2312"/>
          <w:sz w:val="32"/>
          <w:szCs w:val="32"/>
        </w:rPr>
        <w:t>合理、优化配给。</w:t>
      </w:r>
      <w:r>
        <w:rPr>
          <w:rFonts w:hint="eastAsia" w:ascii="仿宋_GB2312" w:hAnsi="仿宋" w:eastAsia="仿宋_GB2312"/>
          <w:sz w:val="32"/>
          <w:szCs w:val="32"/>
          <w:lang w:eastAsia="zh-CN"/>
        </w:rPr>
        <w:t>自评结果为</w:t>
      </w:r>
      <w:r>
        <w:rPr>
          <w:rFonts w:hint="eastAsia" w:ascii="仿宋_GB2312" w:hAnsi="仿宋" w:eastAsia="仿宋_GB2312"/>
          <w:sz w:val="32"/>
          <w:szCs w:val="32"/>
          <w:lang w:val="en-US" w:eastAsia="zh-CN"/>
        </w:rPr>
        <w:t>良好</w:t>
      </w:r>
      <w:r>
        <w:rPr>
          <w:rFonts w:hint="eastAsia" w:ascii="仿宋_GB2312" w:hAnsi="仿宋" w:eastAsia="仿宋_GB2312"/>
          <w:sz w:val="32"/>
          <w:szCs w:val="32"/>
          <w:lang w:eastAsia="zh-CN"/>
        </w:rPr>
        <w:t>。</w:t>
      </w:r>
    </w:p>
    <w:p>
      <w:pPr>
        <w:adjustRightInd w:val="0"/>
        <w:snapToGrid w:val="0"/>
        <w:spacing w:line="584" w:lineRule="exact"/>
        <w:ind w:firstLine="640" w:firstLineChars="200"/>
        <w:rPr>
          <w:rFonts w:hint="eastAsia" w:ascii="仿宋_GB2312" w:hAnsi="Cambria" w:eastAsia="仿宋_GB2312" w:cs="ArialUnicodeMS"/>
          <w:b w:val="0"/>
          <w:bCs w:val="0"/>
          <w:kern w:val="0"/>
          <w:sz w:val="32"/>
          <w:szCs w:val="32"/>
          <w:lang w:val="en-US" w:eastAsia="zh-CN"/>
        </w:rPr>
      </w:pPr>
      <w:r>
        <w:rPr>
          <w:rFonts w:hint="eastAsia" w:ascii="仿宋_GB2312" w:eastAsia="仿宋_GB2312" w:cs="DengXian-Regular"/>
          <w:sz w:val="32"/>
          <w:szCs w:val="32"/>
        </w:rPr>
        <w:t>（三）重点项目绩效评价结果。</w:t>
      </w:r>
      <w:r>
        <w:rPr>
          <w:rFonts w:hint="eastAsia" w:ascii="仿宋_GB2312" w:hAnsi="Cambria" w:eastAsia="仿宋_GB2312" w:cs="ArialUnicodeMS"/>
          <w:b w:val="0"/>
          <w:bCs w:val="0"/>
          <w:kern w:val="0"/>
          <w:sz w:val="32"/>
          <w:szCs w:val="32"/>
          <w:lang w:val="en-US" w:eastAsia="zh-CN"/>
        </w:rPr>
        <w:t>本部门 2018 年度无民生项目和重点支出项目。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本部门</w:t>
      </w:r>
      <w:r>
        <w:rPr>
          <w:rFonts w:hint="eastAsia" w:ascii="仿宋_GB2312" w:hAnsi="仿宋_GB2312" w:eastAsia="仿宋_GB2312" w:cs="仿宋_GB2312"/>
          <w:color w:val="auto"/>
          <w:sz w:val="32"/>
          <w:szCs w:val="32"/>
          <w:lang w:val="en-US" w:eastAsia="zh-CN"/>
        </w:rPr>
        <w:t>无机关运行经费</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ascii="仿宋_GB2312" w:hAnsi="仿宋_GB2312" w:eastAsia="仿宋_GB2312" w:cs="仿宋_GB2312"/>
          <w:color w:val="auto"/>
          <w:sz w:val="32"/>
          <w:szCs w:val="32"/>
          <w:lang w:val="en-US" w:eastAsia="zh-CN"/>
        </w:rPr>
        <w:t>无机关运行经费</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utoSpaceDE w:val="0"/>
        <w:autoSpaceDN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s="DengXian-Regular"/>
          <w:sz w:val="32"/>
          <w:szCs w:val="32"/>
        </w:rPr>
        <w:t>本部门2018年度政府采购支出总额</w:t>
      </w:r>
      <w:r>
        <w:rPr>
          <w:rFonts w:hint="eastAsia" w:ascii="仿宋_GB2312" w:hAnsi="仿宋" w:eastAsia="仿宋_GB2312"/>
          <w:color w:val="auto"/>
          <w:sz w:val="32"/>
          <w:szCs w:val="32"/>
          <w:lang w:val="en-US" w:eastAsia="zh-CN"/>
        </w:rPr>
        <w:t>787.84</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 w:eastAsia="仿宋_GB2312"/>
          <w:color w:val="auto"/>
          <w:sz w:val="32"/>
          <w:szCs w:val="32"/>
          <w:lang w:val="en-US" w:eastAsia="zh-CN"/>
        </w:rPr>
        <w:t>270.16</w:t>
      </w:r>
      <w:r>
        <w:rPr>
          <w:rFonts w:ascii="仿宋_GB2312" w:hAnsi="仿宋_GB2312" w:eastAsia="仿宋_GB2312" w:cs="仿宋_GB2312"/>
          <w:color w:val="000000"/>
          <w:kern w:val="0"/>
          <w:sz w:val="32"/>
          <w:szCs w:val="32"/>
        </w:rPr>
        <w:t>万元、政府采购工程支出</w:t>
      </w:r>
      <w:r>
        <w:rPr>
          <w:rFonts w:hint="eastAsia" w:ascii="仿宋_GB2312" w:hAnsi="仿宋" w:eastAsia="仿宋_GB2312"/>
          <w:color w:val="auto"/>
          <w:sz w:val="32"/>
          <w:szCs w:val="32"/>
          <w:lang w:val="en-US" w:eastAsia="zh-CN"/>
        </w:rPr>
        <w:t>517.68</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公车数量无变化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无其他用车</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无此类设备</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无此类设备</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霸州市农业开发办公室</w:t>
      </w:r>
      <w:r>
        <w:rPr>
          <w:rFonts w:hint="eastAsia" w:ascii="仿宋_GB2312" w:eastAsia="仿宋_GB2312" w:cs="DengXian-Regular"/>
          <w:sz w:val="32"/>
          <w:szCs w:val="32"/>
        </w:rPr>
        <w:t>无收支及结转结余情况，故结转结余表以空表列示。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73DA0F3-AA47-4ECE-9A18-761C0F0F8EA4}"/>
  </w:font>
  <w:font w:name="黑体">
    <w:panose1 w:val="02010609060101010101"/>
    <w:charset w:val="86"/>
    <w:family w:val="auto"/>
    <w:pitch w:val="default"/>
    <w:sig w:usb0="800002BF" w:usb1="38CF7CFA" w:usb2="00000016" w:usb3="00000000" w:csb0="00040001" w:csb1="00000000"/>
    <w:embedRegular r:id="rId2" w:fontKey="{21AA35B3-82A6-4452-BA69-F0F95B04476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3" w:fontKey="{042AAFED-F958-4574-813D-B0353E3479A9}"/>
  </w:font>
  <w:font w:name="楷体">
    <w:panose1 w:val="02010609060101010101"/>
    <w:charset w:val="86"/>
    <w:family w:val="modern"/>
    <w:pitch w:val="default"/>
    <w:sig w:usb0="800002BF" w:usb1="38CF7CFA" w:usb2="00000016" w:usb3="00000000" w:csb0="00040001" w:csb1="00000000"/>
    <w:embedRegular r:id="rId4" w:fontKey="{CB0ED861-4162-491B-8F7D-124E8A00107D}"/>
  </w:font>
  <w:font w:name="仿宋_GB2312">
    <w:panose1 w:val="02010609030101010101"/>
    <w:charset w:val="86"/>
    <w:family w:val="modern"/>
    <w:pitch w:val="default"/>
    <w:sig w:usb0="00000000" w:usb1="00000000" w:usb2="00000000" w:usb3="00000000" w:csb0="00000000" w:csb1="00000000"/>
    <w:embedRegular r:id="rId5" w:fontKey="{4E3E87FA-B0FD-458B-8501-93AB9920CDB1}"/>
  </w:font>
  <w:font w:name="ArialUnicodeMS">
    <w:altName w:val="Malgun Gothic"/>
    <w:panose1 w:val="00000000000000000000"/>
    <w:charset w:val="81"/>
    <w:family w:val="auto"/>
    <w:pitch w:val="default"/>
    <w:sig w:usb0="00000000" w:usb1="00000000" w:usb2="00000010" w:usb3="00000000" w:csb0="00080001" w:csb1="00000000"/>
    <w:embedRegular r:id="rId6" w:fontKey="{0D0BDF1F-C009-46B6-99F3-D859615EE7A9}"/>
  </w:font>
  <w:font w:name="MS-UIGothic,Bold">
    <w:altName w:val="Malgun Gothic"/>
    <w:panose1 w:val="00000000000000000000"/>
    <w:charset w:val="81"/>
    <w:family w:val="auto"/>
    <w:pitch w:val="default"/>
    <w:sig w:usb0="00000000" w:usb1="00000000" w:usb2="00000010" w:usb3="00000000" w:csb0="00080000" w:csb1="00000000"/>
    <w:embedRegular r:id="rId7" w:fontKey="{97CD6790-4FAE-406A-A818-7C210A67086A}"/>
  </w:font>
  <w:font w:name="DengXian-Regular">
    <w:altName w:val="宋体"/>
    <w:panose1 w:val="00000000000000000000"/>
    <w:charset w:val="86"/>
    <w:family w:val="auto"/>
    <w:pitch w:val="default"/>
    <w:sig w:usb0="00000000" w:usb1="00000000" w:usb2="00000010" w:usb3="00000000" w:csb0="00040001" w:csb1="00000000"/>
    <w:embedRegular r:id="rId8" w:fontKey="{E2805803-B3C9-4796-9E73-9812A958C330}"/>
  </w:font>
  <w:font w:name="仿宋">
    <w:panose1 w:val="02010609060101010101"/>
    <w:charset w:val="86"/>
    <w:family w:val="modern"/>
    <w:pitch w:val="default"/>
    <w:sig w:usb0="800002BF" w:usb1="38CF7CFA" w:usb2="00000016" w:usb3="00000000" w:csb0="00040001" w:csb1="00000000"/>
    <w:embedRegular r:id="rId9" w:fontKey="{B5AD0949-7202-4CB8-8BF6-1F0EC64F2890}"/>
  </w:font>
  <w:font w:name="楷体_GB2312">
    <w:panose1 w:val="02010609030101010101"/>
    <w:charset w:val="86"/>
    <w:family w:val="modern"/>
    <w:pitch w:val="default"/>
    <w:sig w:usb0="00000000" w:usb1="00000000" w:usb2="00000000" w:usb3="00000000" w:csb0="00000000" w:csb1="00000000"/>
    <w:embedRegular r:id="rId10" w:fontKey="{B9CE87D8-5918-470A-96AE-D7496ECD1B8D}"/>
  </w:font>
  <w:font w:name="DengXian-Bold">
    <w:altName w:val="宋体"/>
    <w:panose1 w:val="00000000000000000000"/>
    <w:charset w:val="86"/>
    <w:family w:val="auto"/>
    <w:pitch w:val="default"/>
    <w:sig w:usb0="00000000" w:usb1="00000000" w:usb2="00000010" w:usb3="00000000" w:csb0="00040001" w:csb1="00000000"/>
    <w:embedRegular r:id="rId11" w:fontKey="{610BA260-6552-4160-B3CE-8991CDB8A217}"/>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2FC625C"/>
    <w:rsid w:val="04073F84"/>
    <w:rsid w:val="0B60750A"/>
    <w:rsid w:val="10686488"/>
    <w:rsid w:val="10DF728A"/>
    <w:rsid w:val="1264200E"/>
    <w:rsid w:val="141C5B77"/>
    <w:rsid w:val="18D8339D"/>
    <w:rsid w:val="1A21388F"/>
    <w:rsid w:val="1A570D2F"/>
    <w:rsid w:val="24435759"/>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502209C"/>
    <w:rsid w:val="699A3F60"/>
    <w:rsid w:val="72902E62"/>
    <w:rsid w:val="73C61104"/>
    <w:rsid w:val="753A1BF5"/>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0</TotalTime>
  <ScaleCrop>false</ScaleCrop>
  <LinksUpToDate>false</LinksUpToDate>
  <CharactersWithSpaces>11081</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2021-05-26T16:34:01Z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